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ANEXO II</w:t>
      </w:r>
    </w:p>
    <w:p>
      <w:pPr>
        <w:pStyle w:val="Normal"/>
        <w:spacing w:lineRule="auto" w:line="276"/>
        <w:jc w:val="center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TERMO DE REFERÊNCIA – LEI 14.133/21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DISPENSA FÍSICA DE LICITAÇÃO – </w:t>
      </w:r>
      <w:r>
        <w:rPr>
          <w:rFonts w:cs="Arial" w:ascii="Times New Roman" w:hAnsi="Times New Roman"/>
          <w:b/>
          <w:bCs/>
          <w:sz w:val="24"/>
          <w:szCs w:val="24"/>
          <w:u w:val="none"/>
        </w:rPr>
        <w:t>CONTRATAÇÃO DE EMPRESA ESPECIALIZADA NA PRESTAÇÃO DE SERVIÇOS ATUARIAIS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iCs/>
          <w:color w:val="000000"/>
          <w:sz w:val="24"/>
          <w:szCs w:val="24"/>
        </w:rPr>
        <w:t xml:space="preserve">Processo Administrativo nº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084/2024</w:t>
      </w:r>
    </w:p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ivel1"/>
        <w:spacing w:before="0" w:after="0"/>
        <w:rPr>
          <w:rFonts w:cs="Times New Roman"/>
          <w:bCs/>
        </w:rPr>
      </w:pPr>
      <w:r>
        <w:rPr>
          <w:rFonts w:cs="Times New Roman" w:ascii="Times New Roman" w:hAnsi="Times New Roman"/>
          <w:bCs/>
          <w:sz w:val="24"/>
          <w:szCs w:val="24"/>
        </w:rPr>
        <w:t>1. DAS CONDIÇÕES GERAIS DA CONTRATAÇÃO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1.1 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>O objeto do presente instrumento é a Contratação de empresa especializada para a prestação de serviços técnicos na área atuarial com a realização de Assessoria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  <w:highlight w:val="white"/>
        </w:rPr>
        <w:t xml:space="preserve"> Atuarial contínua,</w:t>
      </w: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4"/>
          <w:szCs w:val="24"/>
        </w:rPr>
        <w:t xml:space="preserve"> avaliações e reavaliações atuariais do Regime Próprio de Previdência Social dos servidores do Município de São Gabriel da Palha - ES, administrado pelo Instituto de Previdência do Município de São Gabriel da Palha - SGP-PREV, nos termos da tabela abaixo, conforme condições e exigências estabelecidas neste instrumento.</w:t>
      </w:r>
    </w:p>
    <w:tbl>
      <w:tblPr>
        <w:tblW w:w="9930" w:type="dxa"/>
        <w:jc w:val="left"/>
        <w:tblInd w:w="-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690"/>
        <w:gridCol w:w="4589"/>
        <w:gridCol w:w="1260"/>
        <w:gridCol w:w="1066"/>
        <w:gridCol w:w="1244"/>
        <w:gridCol w:w="1080"/>
      </w:tblGrid>
      <w:tr>
        <w:trPr/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Unidade de Medida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Quant.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R$</w:t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Unitário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R$</w:t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Total</w:t>
            </w:r>
          </w:p>
        </w:tc>
      </w:tr>
      <w:tr>
        <w:trPr>
          <w:trHeight w:val="2284" w:hRule="atLeas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REALIZAÇÃO DAS REAVALIAÇÕES ATUARIAIS ANUAIS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Realização das reavaliações atuariais anuais exigidas pela Secretaria de Previdência Social -SPREV do Ministério da Economia, para fins de emissão do Certificado de Regularidade Previdenciária - CRP e atendimento à IN 68/2020 do TCE-ES; observando rigorosamente a legislação aplicada tanto pelos órgãos de supervisão e controle quanto pela legislação municipal.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</w:tr>
      <w:tr>
        <w:trPr>
          <w:trHeight w:val="3765" w:hRule="atLeas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REALIZAÇÃO DO ESTUDO DE SUSTENTABILIDADE - SUSTEN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135"/>
              <w:jc w:val="both"/>
              <w:rPr>
                <w:rFonts w:eastAsia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lang w:eastAsia="pt-BR"/>
              </w:rPr>
            </w:pPr>
            <w:r>
              <w:rPr>
                <w:rFonts w:eastAsia="Times New Roman"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lang w:eastAsia="pt-BR"/>
              </w:rPr>
              <w:t>Realização do Estudo de Sustentabilidade conforme IN 68/2020 do TCE-ES, e todas suas alterações, inclusive com a coleta de dados contábeis sob a responsabilidade do contratado, evidenciando que o plano de amortização do déficit atuarial adotado pelo ente e vigente, possui viabilidade orçamentária e financeira, e que respeita os limites de gastos com pessoal dos órgãos e poderes, previstos nos artigos 19 e 20 da LC 101/2000 Lei de Responsabilidade Fiscal, por todo seu período de vigência.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ELABORAÇÃO DA NOTA TÉCNICA ATUARIAL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ASSESSORIA TÉCNICA ATUARIAL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Prestar Assessoria na área Técnica Atuarial mensal, dirimindo e esclarecendo dúvidas pertinentes mediante requerimentos específicos do contratante, incluindo participação em reuniões técnicas específicas, especialmente nos conselhos de Administração e Fiscal do SGP-PREV;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12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1.512,61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18.151,32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REALIZAÇÃO DO ESTUDO DO FLUXO FINANCEIRO ATUARIAL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Realização de estudos do fluxo financeiro atuarial envolvendo o passivo e ativo do RPPS, sempre que solicitado, em situações pontuais e específicas, tais como, estudos para modificação de políticas de remunerações dos servidores.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PREENCHIMENTO DO DEMONSTRATIVO DE RESULTADOS DA AVALIAÇÃO ATUARIAL - DRAA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5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PALESTRA PRESENCIAL</w:t>
            </w:r>
          </w:p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Para apresentação do cálculo atuarial, a ser realizada em data prevista na segunda quinzena do mês de abril de 2025, às expensas do contratado, voltada aos membros do RPPS, representantes do Poder Executivo e Legislativo.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SERV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1.512,62</w:t>
            </w:r>
          </w:p>
        </w:tc>
      </w:tr>
    </w:tbl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1.2</w:t>
      </w:r>
      <w:bookmarkStart w:id="0" w:name="art23§711"/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A contratação em questão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</w:rPr>
        <w:t xml:space="preserve"> enquadra na categoria de bens e serviços comuns, uma vez que seus padrões de desempenho e 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lang w:val="pt-BR" w:eastAsia="zh-CN" w:bidi="ar-SA"/>
        </w:rPr>
        <w:t>características gerais e específicas usualmente encontradas no mercado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</w:rPr>
        <w:t>, conforme estabelecido no art. 6º, inciso XIII, da Lei Federal nº 14.133/2021 e justificativa constante no Documento de Formalização de Demanda.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</w:rPr>
        <w:t>1.3.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 O custo estimado total da contratação é de R$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27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227,04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 (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vinte e sete mil duzentos e vinte e sete reais e quatro centavos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)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conforme custos unitários apurados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no painel de preços e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>em contratos de órgãos públicos com objeto correspondente ao da presente contratação e nos quadros comparativos de preços simples em anexo.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</w:rPr>
        <w:t>1.4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Cs/>
          <w:iCs/>
          <w:color w:val="000000"/>
          <w:sz w:val="24"/>
          <w:szCs w:val="24"/>
          <w:highlight w:val="white"/>
        </w:rPr>
        <w:t xml:space="preserve">O Cálculo Atuarial será entregue até o dia </w:t>
      </w: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  <w:highlight w:val="white"/>
        </w:rPr>
        <w:t xml:space="preserve">10 de janeiro do ano subsequente à data base de apuração.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highlight w:val="white"/>
        </w:rPr>
        <w:t>A Execução da Assessoria Técnica Atuarial se dará mensalmente a partir da assinatura do contrato</w:t>
      </w:r>
      <w:r>
        <w:rPr>
          <w:rFonts w:eastAsia="Times New Roman" w:cs="Times New Roman" w:ascii="Times New Roman" w:hAnsi="Times New Roman"/>
          <w:bCs/>
          <w:iCs/>
          <w:color w:val="000000"/>
          <w:sz w:val="24"/>
          <w:szCs w:val="24"/>
          <w:highlight w:val="white"/>
        </w:rPr>
        <w:t>;</w:t>
      </w:r>
    </w:p>
    <w:p>
      <w:pPr>
        <w:pStyle w:val="Defaul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ivel1"/>
        <w:spacing w:before="0" w:after="0"/>
        <w:rPr>
          <w:rFonts w:cs="Times New Roman"/>
          <w:bCs/>
        </w:rPr>
      </w:pPr>
      <w:bookmarkStart w:id="1" w:name="art23§73"/>
      <w:bookmarkStart w:id="2" w:name="art23§72"/>
      <w:bookmarkStart w:id="3" w:name="art23§71"/>
      <w:bookmarkStart w:id="4" w:name="art23§7"/>
      <w:bookmarkEnd w:id="1"/>
      <w:bookmarkEnd w:id="2"/>
      <w:bookmarkEnd w:id="3"/>
      <w:bookmarkEnd w:id="4"/>
      <w:r>
        <w:rPr>
          <w:rFonts w:cs="Times New Roman" w:ascii="Times New Roman" w:hAnsi="Times New Roman"/>
          <w:bCs/>
          <w:sz w:val="24"/>
          <w:szCs w:val="24"/>
        </w:rPr>
        <w:t>2. FUNDAMENTAÇÃO E DESCRIÇÃO DA NECESSIDADE DA CONTRATAÇÃO</w:t>
      </w:r>
    </w:p>
    <w:p>
      <w:pPr>
        <w:pStyle w:val="Normal"/>
        <w:spacing w:before="0"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2.1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.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Atender à necessidade legal e também para renovação do CRP (Certificado de Regularidade Previdenciária) em efetuar anual e mensalmente os serviços descritos neste termo de referência, em conformidade com as disposições da Emenda Constitucional nº 103/2019 e </w:t>
      </w:r>
      <w:r>
        <w:rPr>
          <w:rFonts w:cs="Arial" w:ascii="Times New Roman" w:hAnsi="Times New Roman"/>
          <w:b w:val="false"/>
          <w:bCs w:val="false"/>
          <w:sz w:val="24"/>
          <w:szCs w:val="24"/>
          <w:highlight w:val="white"/>
        </w:rPr>
        <w:t xml:space="preserve">Portaria MTP 1467/2022. 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>2.2.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 Os serviços a serem executados são relativos à realização de estudos/consultoria, elaboração de pareceres e participações/convocações para fins de assessoria técnica em reuniões dos Conselhos de Administração e Fiscal e demais eventos pertinentes a área atuarial, solicitadas pelo SGP-PREV.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>2.3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. Por meio da consultoria ora solicitada, o SGP-PREV poderá realizar uma avaliação segura do RPPS de São Gabriel da Palha - ES, visando uma gestão adequada e também possibilitando adotar medidas para o equilíbrio financeiro e atuarial do mesmo, atendendo assim, inclusive, exigência da Constituição Federal.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 xml:space="preserve">2.4.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O SGP-PREV tem primado pela busca da qualidade na gestão e prestação de serviços aos seus participantes. Assim, objetivando atender toda a sua demanda de forma menos onerosa possível, optou-se pela prestação do serviço de consultoria, de maneira a atender às variadas necessidades técnicas para o acompanhamento e gestão do seu </w:t>
      </w:r>
      <w:r>
        <w:rPr>
          <w:rFonts w:cs="Arial" w:ascii="Times New Roman" w:hAnsi="Times New Roman"/>
          <w:b w:val="false"/>
          <w:bCs w:val="false"/>
          <w:sz w:val="24"/>
          <w:szCs w:val="24"/>
          <w:highlight w:val="white"/>
        </w:rPr>
        <w:t xml:space="preserve">Regime Próprio de Previdência. 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>2.5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. Os serviços a serem executados são considerados de grande relevância para o equilíbrio financeiro e atuarial do plano e consequente sustentabilidade do mesmo. Assim, como o Município não dispõe, dentre o seu quadro de colaboradores, de pessoal técnico especializado para os serviços em comento para a realização de tais atividades, necessário se faz contratação de consultoria técnica especializada, inclusive com direito a uso no período do contrato de sistema de cálculo atuarial de reservas e de geração de projeções atuariais para possíveis simulações pelo SGP-PREV. 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>2.6.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 Desta forma, com base nas informações acima, solicitamos a contratação de empresa especializada em serviços de consultoria na área de estudos atuariais para suprir demanda junto a esta Autarquia Previdenciária.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rpodotexto"/>
        <w:spacing w:lineRule="auto" w:line="276" w:before="0" w:after="198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  <w:shd w:fill="auto" w:val="clear"/>
          <w:lang w:val="pt-BR" w:eastAsia="zh-CN" w:bidi="ar-SA"/>
        </w:rPr>
        <w:t>2.7</w:t>
      </w:r>
      <w:r>
        <w:rPr>
          <w:rFonts w:eastAsia="Verdana" w:cs="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pt-BR" w:eastAsia="zh-CN" w:bidi="ar-SA"/>
        </w:rPr>
        <w:t xml:space="preserve"> </w:t>
      </w:r>
      <w:r>
        <w:rPr>
          <w:rFonts w:eastAsia="Verdana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  <w:shd w:fill="auto" w:val="clear"/>
          <w:lang w:val="pt-BR" w:eastAsia="zh-CN" w:bidi="ar-SA"/>
        </w:rPr>
        <w:t xml:space="preserve">DA DISPENSA </w:t>
      </w:r>
      <w:r>
        <w:rPr>
          <w:rFonts w:eastAsia="Verdana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</w:rPr>
        <w:t>DE ESTUDO TÉCNICO PRELIMINAR</w:t>
      </w:r>
    </w:p>
    <w:p>
      <w:pPr>
        <w:pStyle w:val="Normal"/>
        <w:bidi w:val="0"/>
        <w:spacing w:lineRule="auto" w:line="276" w:before="0" w:after="198"/>
        <w:ind w:left="0" w:right="0" w:hanging="0"/>
        <w:jc w:val="both"/>
        <w:rPr>
          <w:rFonts w:eastAsia="Verdana" w:cs="Arial"/>
          <w:b w:val="false"/>
          <w:b w:val="false"/>
          <w:bCs w:val="false"/>
          <w:i w:val="false"/>
          <w:i w:val="false"/>
          <w:iCs w:val="false"/>
          <w:color w:val="000000"/>
        </w:rPr>
      </w:pPr>
      <w:r>
        <w:rPr>
          <w:rFonts w:eastAsia="Verdana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</w:rPr>
        <w:t xml:space="preserve">Justifica a dispensa de elaboração de Estudo Técnico Preliminar para a contratação em epígrafe o disposto no artigo 7º, II, da Portaria nº 13/2024. 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b/>
          <w:bCs/>
          <w:color w:val="000000"/>
          <w:sz w:val="24"/>
          <w:szCs w:val="24"/>
          <w:shd w:fill="auto" w:val="clear"/>
          <w:lang w:val="pt-BR" w:eastAsia="zh-CN" w:bidi="ar-SA"/>
        </w:rPr>
        <w:t>3</w:t>
      </w:r>
      <w:r>
        <w:rPr>
          <w:rFonts w:eastAsia="Verdana" w:cs="Times New Roman" w:ascii="Times New Roman" w:hAnsi="Times New Roman"/>
          <w:b/>
          <w:bCs/>
          <w:color w:val="000000"/>
          <w:sz w:val="24"/>
          <w:szCs w:val="24"/>
          <w:shd w:fill="auto" w:val="clear"/>
        </w:rPr>
        <w:t>. PRAZO DE VIGÊNCIA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color w:val="000000"/>
          <w:sz w:val="24"/>
          <w:szCs w:val="24"/>
          <w:shd w:fill="auto" w:val="clear"/>
        </w:rPr>
        <w:t xml:space="preserve">3.1 </w:t>
      </w:r>
      <w:r>
        <w:rPr>
          <w:rFonts w:eastAsia="Verdana" w:cs="Times New Roman" w:ascii="Times New Roman" w:hAnsi="Times New Roman"/>
          <w:iCs/>
          <w:color w:val="000000"/>
          <w:sz w:val="24"/>
          <w:szCs w:val="24"/>
          <w:shd w:fill="auto" w:val="clear"/>
        </w:rPr>
        <w:t>O</w:t>
      </w: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shd w:fill="auto" w:val="clear"/>
        </w:rPr>
        <w:t xml:space="preserve"> prazo de vigência do contrato será de 12 (doze) meses, conforme art. 105 da Lei 14.133/2021.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eastAsia="Verdana" w:cs="Times New Roman"/>
          <w:bCs/>
          <w:iCs/>
          <w:color w:val="000000"/>
          <w:shd w:fill="auto" w:val="clear"/>
        </w:rPr>
      </w:pPr>
      <w:r>
        <w:rPr>
          <w:rFonts w:eastAsia="Verdana" w:cs="Times New Roman" w:ascii="Times New Roman" w:hAnsi="Times New Roman"/>
          <w:bCs/>
          <w:iCs/>
          <w:color w:val="000000"/>
          <w:sz w:val="24"/>
          <w:szCs w:val="24"/>
          <w:shd w:fill="auto" w:val="clear"/>
        </w:rPr>
        <w:t>3.2 O contrato poderá ser prorrogado até o limite de valor estabelecido para as contratações por dispensa de licitação.</w:t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ivel2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  <w:lang w:val="pt-BR" w:eastAsia="zh-CN" w:bidi="ar-SA"/>
        </w:rPr>
        <w:t>4</w:t>
      </w:r>
      <w:r>
        <w:rPr>
          <w:rFonts w:cs="Times New Roman" w:ascii="Times New Roman" w:hAnsi="Times New Roman"/>
          <w:b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DA</w:t>
      </w:r>
      <w:r>
        <w:rPr>
          <w:rFonts w:cs="Times New Roman" w:ascii="Times New Roman" w:hAnsi="Times New Roman"/>
          <w:b/>
          <w:sz w:val="24"/>
          <w:szCs w:val="24"/>
        </w:rPr>
        <w:t xml:space="preserve"> SUBCONTRATAÇÃO</w:t>
      </w:r>
    </w:p>
    <w:p>
      <w:pPr>
        <w:pStyle w:val="SemEspaamento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BR" w:eastAsia="zh-CN" w:bidi="ar-SA"/>
        </w:rPr>
        <w:t>4</w:t>
      </w:r>
      <w:r>
        <w:rPr>
          <w:rFonts w:cs="Times New Roman" w:ascii="Times New Roman" w:hAnsi="Times New Roman"/>
          <w:color w:val="000000"/>
          <w:sz w:val="24"/>
          <w:szCs w:val="24"/>
        </w:rPr>
        <w:t>.1 É vedada a subcontratação total ou parcial da execução do objeto.</w:t>
      </w:r>
    </w:p>
    <w:p>
      <w:pPr>
        <w:pStyle w:val="SemEspaamento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vel1SemNumPreto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BR" w:eastAsia="zh-CN" w:bidi="hi-IN"/>
        </w:rPr>
        <w:t>5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GARANTIA DA CONTRATAÇÃO</w:t>
      </w:r>
    </w:p>
    <w:p>
      <w:pPr>
        <w:pStyle w:val="Nvel1SemNumPreto"/>
        <w:spacing w:lineRule="auto" w:line="276" w:before="0" w:after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pt-BR" w:eastAsia="zh-CN" w:bidi="hi-IN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.1 Não haverá exigência da garantia da contratação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pt-BR" w:eastAsia="zh-CN" w:bidi="hi-IN"/>
        </w:rPr>
        <w:t xml:space="preserve">dos </w:t>
      </w:r>
      <w:r>
        <w:fldChar w:fldCharType="begin"/>
      </w:r>
      <w:r>
        <w:rPr>
          <w:rStyle w:val="LinkdaInternet"/>
          <w:sz w:val="24"/>
          <w:u w:val="none"/>
          <w:b w:val="false"/>
          <w:szCs w:val="24"/>
          <w:bCs w:val="false"/>
          <w:rFonts w:eastAsia="Times New Roman" w:cs="Times New Roman" w:ascii="Times New Roman" w:hAnsi="Times New Roman"/>
          <w:color w:val="000000"/>
        </w:rPr>
        <w:instrText xml:space="preserve"> HYPERLINK "http://www.planalto.gov.br/ccivil_03/_ato2019-2022/2021/lei/L14133.htm" \l "art96"</w:instrText>
      </w:r>
      <w:r>
        <w:rPr>
          <w:rStyle w:val="LinkdaInternet"/>
          <w:sz w:val="24"/>
          <w:u w:val="none"/>
          <w:b w:val="false"/>
          <w:szCs w:val="24"/>
          <w:bCs w:val="false"/>
          <w:rFonts w:eastAsia="Times New Roman" w:cs="Times New Roman" w:ascii="Times New Roman" w:hAnsi="Times New Roman"/>
          <w:color w:val="000000"/>
        </w:rPr>
        <w:fldChar w:fldCharType="separate"/>
      </w:r>
      <w:r>
        <w:rPr>
          <w:rStyle w:val="LinkdaInternet"/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u w:val="none"/>
        </w:rPr>
        <w:t>artigos 96 e seguintes da Lei nº 14.133, de 2021</w:t>
      </w:r>
      <w:r>
        <w:rPr>
          <w:rStyle w:val="LinkdaInternet"/>
          <w:sz w:val="24"/>
          <w:u w:val="none"/>
          <w:b w:val="false"/>
          <w:szCs w:val="24"/>
          <w:bCs w:val="false"/>
          <w:rFonts w:eastAsia="Times New Roman" w:cs="Times New Roman" w:ascii="Times New Roman" w:hAnsi="Times New Roman"/>
          <w:color w:val="000000"/>
        </w:rPr>
        <w:fldChar w:fldCharType="end"/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.</w:t>
      </w:r>
    </w:p>
    <w:p>
      <w:pPr>
        <w:pStyle w:val="Nvel1SemNumPreto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Times New Roman" w:ascii="Times New Roman" w:hAnsi="Times New Roman"/>
          <w:b/>
          <w:bCs/>
          <w:color w:val="000000"/>
          <w:sz w:val="24"/>
          <w:szCs w:val="24"/>
          <w:lang w:val="pt-BR" w:eastAsia="zh-CN" w:bidi="ar-SA"/>
        </w:rPr>
        <w:t>6</w:t>
      </w:r>
      <w:r>
        <w:rPr>
          <w:rFonts w:eastAsia="Verdana" w:cs="Times New Roman" w:ascii="Times New Roman" w:hAnsi="Times New Roman"/>
          <w:b/>
          <w:bCs/>
          <w:color w:val="000000"/>
          <w:sz w:val="24"/>
          <w:szCs w:val="24"/>
        </w:rPr>
        <w:t xml:space="preserve">. </w:t>
      </w:r>
      <w:r>
        <w:rPr>
          <w:rFonts w:eastAsia="Verdana" w:cs="Times New Roman" w:ascii="Times New Roman" w:hAnsi="Times New Roman"/>
          <w:b/>
          <w:bCs/>
          <w:color w:val="000000"/>
          <w:sz w:val="24"/>
          <w:szCs w:val="24"/>
          <w:lang w:val="pt-BR" w:eastAsia="zh-CN" w:bidi="ar-SA"/>
        </w:rPr>
        <w:t>REQUISITOS DA CONTRATAÇÃO</w:t>
      </w:r>
    </w:p>
    <w:p>
      <w:pPr>
        <w:pStyle w:val="Corpodotexto"/>
        <w:bidi w:val="0"/>
        <w:spacing w:lineRule="auto" w:line="276" w:before="0" w:after="198"/>
        <w:ind w:left="0" w:right="0" w:hanging="0"/>
        <w:jc w:val="both"/>
        <w:rPr>
          <w:rFonts w:eastAsia="Verdana" w:cs="Times New Roman"/>
          <w:b w:val="false"/>
          <w:b w:val="false"/>
          <w:bCs w:val="false"/>
          <w:color w:val="auto"/>
          <w:lang w:val="pt-BR" w:eastAsia="zh-CN" w:bidi="ar-SA"/>
        </w:rPr>
      </w:pPr>
      <w:r>
        <w:rPr>
          <w:rFonts w:eastAsia="Verdana" w:cs="Times New Roman" w:ascii="Times New Roman" w:hAnsi="Times New Roman"/>
          <w:b w:val="false"/>
          <w:bCs w:val="false"/>
          <w:color w:val="auto"/>
          <w:sz w:val="24"/>
          <w:szCs w:val="24"/>
          <w:lang w:val="pt-BR" w:eastAsia="zh-CN" w:bidi="ar-SA"/>
        </w:rPr>
        <w:t>As especificações abaixo foram baseadas no Documento de Formalização de Demanda, podendo sujeitar-se a modificações / adaptações a depender da escolha definitiva das soluções.</w:t>
      </w:r>
    </w:p>
    <w:p>
      <w:pPr>
        <w:pStyle w:val="Corpodotexto"/>
        <w:bidi w:val="0"/>
        <w:spacing w:lineRule="auto" w:line="276" w:before="0" w:after="198"/>
        <w:ind w:left="0" w:right="0" w:hanging="0"/>
        <w:jc w:val="both"/>
        <w:rPr>
          <w:rFonts w:eastAsia="Verdana" w:cs="Times New Roman"/>
          <w:b w:val="false"/>
          <w:b w:val="false"/>
          <w:bCs w:val="false"/>
          <w:color w:val="auto"/>
          <w:lang w:val="pt-BR" w:eastAsia="zh-CN" w:bidi="ar-SA"/>
        </w:rPr>
      </w:pPr>
      <w:r>
        <w:rPr>
          <w:rFonts w:eastAsia="Verdana" w:cs="Times New Roman" w:ascii="Times New Roman" w:hAnsi="Times New Roman"/>
          <w:b w:val="false"/>
          <w:bCs w:val="false"/>
          <w:color w:val="auto"/>
          <w:sz w:val="24"/>
          <w:szCs w:val="24"/>
          <w:lang w:val="pt-BR" w:eastAsia="zh-CN" w:bidi="ar-SA"/>
        </w:rPr>
        <w:t>6.1 A contratação deverá observar os seguintes requisitos: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06" w:leader="none"/>
          <w:tab w:val="left" w:pos="563" w:leader="none"/>
        </w:tabs>
        <w:suppressAutoHyphens w:val="false"/>
        <w:jc w:val="both"/>
        <w:rPr>
          <w:rFonts w:cs="Times New Roman"/>
        </w:rPr>
      </w:pPr>
      <w:r>
        <w:rPr>
          <w:rFonts w:cs="Times New Roman" w:ascii="Times New Roman" w:hAnsi="Times New Roman"/>
          <w:sz w:val="24"/>
          <w:szCs w:val="24"/>
        </w:rPr>
        <w:t>Não haverá danos ao meio ambiente, uma vez que a contratação não gerará tal problema para a Autarquia.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06" w:leader="none"/>
          <w:tab w:val="left" w:pos="563" w:leader="none"/>
        </w:tabs>
        <w:suppressAutoHyphens w:val="false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contratação se dará por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dispensa de licitação</w:t>
      </w:r>
      <w:r>
        <w:rPr>
          <w:rFonts w:cs="Times New Roman" w:ascii="Times New Roman" w:hAnsi="Times New Roman"/>
          <w:sz w:val="24"/>
          <w:szCs w:val="24"/>
        </w:rPr>
        <w:t xml:space="preserve"> (sendo sagrado vencedor, o fornecedor que apresentar o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menor valor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global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dos itens a serem </w:t>
      </w:r>
      <w:r>
        <w:rPr>
          <w:rFonts w:cs="Times New Roman" w:ascii="Times New Roman" w:hAnsi="Times New Roman"/>
          <w:sz w:val="24"/>
          <w:szCs w:val="24"/>
        </w:rPr>
        <w:t>adquiridos), com prestação dos serviços conforme estabelecido no instrumento contratual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06" w:leader="none"/>
          <w:tab w:val="left" w:pos="563" w:leader="none"/>
        </w:tabs>
        <w:suppressAutoHyphens w:val="false"/>
        <w:jc w:val="both"/>
        <w:rPr>
          <w:rFonts w:cs="Times New Roman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A contratação deverá obedecer, no que couber, ao disposto na Lei nº 14.133/2021 e suas alterações.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06" w:leader="none"/>
          <w:tab w:val="left" w:pos="563" w:leader="none"/>
        </w:tabs>
        <w:suppressAutoHyphens w:val="false"/>
        <w:jc w:val="both"/>
        <w:rPr>
          <w:rFonts w:eastAsia="Arial" w:cs="Arial"/>
          <w:b w:val="false"/>
          <w:b w:val="false"/>
          <w:bCs w:val="false"/>
          <w:color w:val="000000"/>
          <w:lang w:val="pt-BR" w:eastAsia="zh-CN" w:bidi="ar-SA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24"/>
          <w:szCs w:val="24"/>
          <w:lang w:val="pt-BR" w:eastAsia="zh-CN" w:bidi="ar-SA"/>
        </w:rPr>
        <w:t>Poderá ser concedido reequilíbrio econômico-financeiro mediante comprovação do contratado de que houve alteração dos valores dos produtos.</w:t>
      </w:r>
    </w:p>
    <w:p>
      <w:pPr>
        <w:pStyle w:val="Normal"/>
        <w:tabs>
          <w:tab w:val="clear" w:pos="708"/>
          <w:tab w:val="left" w:pos="206" w:leader="none"/>
          <w:tab w:val="left" w:pos="563" w:leader="none"/>
        </w:tabs>
        <w:suppressAutoHyphens w:val="false"/>
        <w:jc w:val="both"/>
        <w:rPr>
          <w:rFonts w:ascii="Times New Roman" w:hAnsi="Times New Roman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Default"/>
        <w:jc w:val="both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7 - DO REGIME DE EXECUÇÃO DOS SERVIÇOS</w:t>
      </w:r>
    </w:p>
    <w:p>
      <w:pPr>
        <w:pStyle w:val="Default"/>
        <w:ind w:left="284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jc w:val="both"/>
        <w:rPr>
          <w:rFonts w:eastAsia="Courier New" w:cs="Arial"/>
        </w:rPr>
      </w:pPr>
      <w:r>
        <w:rPr>
          <w:rFonts w:eastAsia="Courier New" w:cs="Arial" w:ascii="Times New Roman" w:hAnsi="Times New Roman"/>
          <w:sz w:val="24"/>
          <w:szCs w:val="24"/>
        </w:rPr>
        <w:t>7.1 - A prestação de serviços compreenderá as seguintes tarefas:</w:t>
      </w:r>
    </w:p>
    <w:p>
      <w:pPr>
        <w:pStyle w:val="Normal"/>
        <w:tabs>
          <w:tab w:val="clear" w:pos="708"/>
          <w:tab w:val="left" w:pos="951" w:leader="none"/>
        </w:tabs>
        <w:spacing w:lineRule="auto" w:line="218"/>
        <w:jc w:val="both"/>
        <w:rPr>
          <w:rFonts w:ascii="Times New Roman" w:hAnsi="Times New Roman" w:eastAsia="Courier New" w:cs="Arial"/>
          <w:sz w:val="24"/>
          <w:szCs w:val="24"/>
        </w:rPr>
      </w:pPr>
      <w:r>
        <w:rPr>
          <w:rFonts w:eastAsia="Courier New" w:cs="Arial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51" w:leader="none"/>
        </w:tabs>
        <w:spacing w:lineRule="auto" w:line="218"/>
        <w:jc w:val="both"/>
        <w:rPr>
          <w:rFonts w:ascii="Times New Roman" w:hAnsi="Times New Roman"/>
          <w:sz w:val="24"/>
          <w:szCs w:val="24"/>
        </w:rPr>
      </w:pPr>
      <w:r>
        <w:rPr>
          <w:rFonts w:eastAsia="Courier New" w:cs="Arial" w:ascii="Times New Roman" w:hAnsi="Times New Roman"/>
          <w:sz w:val="24"/>
          <w:szCs w:val="24"/>
        </w:rPr>
        <w:t>7</w:t>
      </w:r>
      <w:r>
        <w:rPr>
          <w:rFonts w:cs="Arial" w:ascii="Times New Roman" w:hAnsi="Times New Roman"/>
          <w:sz w:val="24"/>
          <w:szCs w:val="24"/>
        </w:rPr>
        <w:t>.1.1 – Elaboração das avaliações e reavaliações atuariais do RPPS dos servidores do Município de São Gabriel da Palha, com base nas informações cadastrais dos servidores ativos, aposentados e pensionistas vinculados, em rigorosa observância das normas fixadas pela SPREV – Secretaria de Previdência.</w:t>
      </w:r>
    </w:p>
    <w:p>
      <w:pPr>
        <w:pStyle w:val="Normal"/>
        <w:tabs>
          <w:tab w:val="clear" w:pos="708"/>
          <w:tab w:val="left" w:pos="951" w:leader="none"/>
        </w:tabs>
        <w:spacing w:lineRule="auto" w:line="218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51" w:leader="none"/>
        </w:tabs>
        <w:spacing w:lineRule="auto" w:line="218"/>
        <w:jc w:val="both"/>
        <w:rPr>
          <w:rFonts w:cs="Arial"/>
        </w:rPr>
      </w:pPr>
      <w:r>
        <w:rPr>
          <w:rFonts w:cs="Arial" w:ascii="Times New Roman" w:hAnsi="Times New Roman"/>
          <w:sz w:val="24"/>
          <w:szCs w:val="24"/>
        </w:rPr>
        <w:t>7.1.2. As avaliações e reavaliações deverão ser precedidas de aprovação das premissas e hipóteses atuariais sugeridas pela contratada e seus possíveis impactos atuariais, orçamentários e fiscais.</w:t>
      </w:r>
    </w:p>
    <w:p>
      <w:pPr>
        <w:pStyle w:val="Normal"/>
        <w:tabs>
          <w:tab w:val="clear" w:pos="708"/>
          <w:tab w:val="left" w:pos="951" w:leader="none"/>
        </w:tabs>
        <w:spacing w:lineRule="auto" w:line="218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51" w:leader="none"/>
        </w:tabs>
        <w:spacing w:lineRule="auto" w:line="218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7.1.3. Responder em </w:t>
      </w:r>
      <w:r>
        <w:rPr>
          <w:rFonts w:cs="Arial" w:ascii="Times New Roman" w:hAnsi="Times New Roman"/>
          <w:color w:val="000000"/>
          <w:sz w:val="24"/>
          <w:szCs w:val="24"/>
          <w:highlight w:val="white"/>
        </w:rPr>
        <w:t>até 03 (três) dias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úteis às consultas técnicas solicitadas pelo contratante;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  <w:bookmarkStart w:id="5" w:name="page68R_mcid1"/>
      <w:bookmarkStart w:id="6" w:name="page68R_mcid1"/>
      <w:bookmarkEnd w:id="6"/>
    </w:p>
    <w:p>
      <w:pPr>
        <w:pStyle w:val="Normal"/>
        <w:spacing w:lineRule="auto" w:line="276"/>
        <w:jc w:val="both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8. OBRIGAÇÕES DA CONTRATANTE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8.1. </w:t>
      </w:r>
      <w:r>
        <w:rPr>
          <w:rFonts w:cs="Arial" w:ascii="Times New Roman" w:hAnsi="Times New Roman"/>
          <w:color w:val="000000"/>
          <w:sz w:val="24"/>
          <w:szCs w:val="24"/>
        </w:rPr>
        <w:t>Receber os itens no prazo e condições estabelecidas no Contrato, neste Termo de Referência e seus anexos.</w:t>
      </w:r>
    </w:p>
    <w:p>
      <w:pPr>
        <w:pStyle w:val="Normal"/>
        <w:spacing w:lineRule="auto" w:line="276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8.2. </w:t>
      </w:r>
      <w:bookmarkStart w:id="7" w:name="page68R_mcid17"/>
      <w:r>
        <w:rPr>
          <w:rFonts w:cs="Arial" w:ascii="Times New Roman" w:hAnsi="Times New Roman"/>
          <w:color w:val="000000"/>
          <w:sz w:val="24"/>
          <w:szCs w:val="24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8.3.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8.4.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Acompanhar e fiscalizar o cumprimento das obrigações da Contratada, através de comissão/servidor especialmente designado.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8.5.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Efetuar o pagamento à Contratada no valor correspondente ao fornecimento dos objetos, no prazo e forma estabelecidos no Contrato, neste Temo de Referência e seus anexos.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8.6.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Autarquia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 OBRIGAÇÕES DA CONTRATADA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9.1.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Contratada deve cumprir todas as obrigações constantes no Contrato, neste Temo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9.2. </w:t>
      </w:r>
      <w:r>
        <w:rPr>
          <w:rFonts w:cs="Arial" w:ascii="Times New Roman" w:hAnsi="Times New Roman"/>
          <w:color w:val="000000"/>
          <w:sz w:val="24"/>
          <w:szCs w:val="24"/>
        </w:rPr>
        <w:t>Efetuar a entrega dos itens em perfeitas condições, conforme especificações, prazo e local constantes no Contrato,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9.3</w:t>
      </w:r>
      <w:r>
        <w:rPr>
          <w:rFonts w:cs="Arial" w:ascii="Times New Roman" w:hAnsi="Times New Roman"/>
          <w:color w:val="000000"/>
          <w:sz w:val="24"/>
          <w:szCs w:val="24"/>
        </w:rPr>
        <w:t>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9.4. </w:t>
      </w:r>
      <w:r>
        <w:rPr>
          <w:rFonts w:cs="Arial" w:ascii="Times New Roman" w:hAnsi="Times New Roman"/>
          <w:color w:val="000000"/>
          <w:sz w:val="24"/>
          <w:szCs w:val="24"/>
        </w:rPr>
        <w:t>Substituir, reparar ou corrigir, às suas expensas, no prazo fixado no Contrato, neste Termo de Referência, o objeto com avarias ou defeitos.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9.5. </w:t>
      </w:r>
      <w:r>
        <w:rPr>
          <w:rFonts w:cs="Arial" w:ascii="Times New Roman" w:hAnsi="Times New Roman"/>
          <w:color w:val="000000"/>
          <w:sz w:val="24"/>
          <w:szCs w:val="24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9.6. </w:t>
      </w:r>
      <w:r>
        <w:rPr>
          <w:rFonts w:cs="Arial" w:ascii="Times New Roman" w:hAnsi="Times New Roman"/>
          <w:color w:val="000000"/>
          <w:sz w:val="24"/>
          <w:szCs w:val="24"/>
        </w:rPr>
        <w:t>Manter, durante toda a execução do contrato, em compatibilidade com as obrigações assumidas, todas as condições de habilitação e qualificação exigidas na dispensa de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9.7. </w:t>
      </w:r>
      <w:r>
        <w:rPr>
          <w:rFonts w:cs="Arial" w:ascii="Times New Roman" w:hAnsi="Times New Roman"/>
          <w:color w:val="000000"/>
          <w:sz w:val="24"/>
          <w:szCs w:val="24"/>
        </w:rPr>
        <w:t>Indicar preposto para representá-la.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9.8. </w:t>
      </w:r>
      <w:r>
        <w:rPr>
          <w:rFonts w:cs="Arial" w:ascii="Times New Roman" w:hAnsi="Times New Roman"/>
          <w:color w:val="000000"/>
          <w:sz w:val="24"/>
          <w:szCs w:val="24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9.9</w:t>
      </w:r>
      <w:r>
        <w:rPr>
          <w:rFonts w:cs="Arial" w:ascii="Times New Roman" w:hAnsi="Times New Roman"/>
          <w:color w:val="000000"/>
          <w:sz w:val="24"/>
          <w:szCs w:val="24"/>
        </w:rPr>
        <w:t>. Durante a execução do Contrato, a CONTRATADA deverá: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9.9.1. </w:t>
      </w:r>
      <w:r>
        <w:rPr>
          <w:rFonts w:cs="Arial" w:ascii="Times New Roman" w:hAnsi="Times New Roman"/>
          <w:color w:val="000000"/>
          <w:sz w:val="24"/>
          <w:szCs w:val="24"/>
        </w:rPr>
        <w:t>Atender prontamente às solicitações do CONTRATANTE, no fornecimento dos objetos nas quantidades e especificações no Contrato e deste Temo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9.9.2</w:t>
      </w:r>
      <w:r>
        <w:rPr>
          <w:rFonts w:cs="Arial" w:ascii="Times New Roman" w:hAnsi="Times New Roman"/>
          <w:color w:val="000000"/>
          <w:sz w:val="24"/>
          <w:szCs w:val="24"/>
        </w:rPr>
        <w:t>. Entregar os alimentos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9.9.3.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nota fiscal deverá ser acompanhada pelas Certidões de Regularidades Fiscais.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.9.4.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Substituir quaisquer alimentos que não estejam dentro do padrão de qualidade, em bom estado de conservação, que apresente defeito ou não esteja em conformidade com as especificações da proposta apresentada.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9.9.5.</w:t>
      </w:r>
      <w:bookmarkStart w:id="8" w:name="page68R_mcid202"/>
      <w:r>
        <w:rPr>
          <w:rFonts w:cs="Arial" w:ascii="Times New Roman" w:hAnsi="Times New Roman"/>
          <w:color w:val="000000"/>
          <w:sz w:val="24"/>
          <w:szCs w:val="24"/>
        </w:rPr>
        <w:t xml:space="preserve"> A Contratada deve cumprir todas as obrigações constantes no Contrato, neste Temo de Referência, seus anexos.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bookmarkStart w:id="9" w:name="page68R_mcid201"/>
      <w:bookmarkStart w:id="10" w:name="page68R_mcid20"/>
      <w:bookmarkStart w:id="11" w:name="page68R_mcid201"/>
      <w:bookmarkStart w:id="12" w:name="page68R_mcid20"/>
      <w:bookmarkEnd w:id="11"/>
      <w:bookmarkEnd w:id="12"/>
    </w:p>
    <w:p>
      <w:pPr>
        <w:pStyle w:val="Normal"/>
        <w:spacing w:lineRule="auto" w:line="276"/>
        <w:jc w:val="both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10. DO CONTROLE E FISCALIZAÇÃO DA EXECUÇÃO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10.1. 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 xml:space="preserve">Fica designado o senhor Cleyton Marques de Oliveira, Diretor Administrativo-Financeiro, como Fiscal do Contrato, e responsável pelo acompanhamento e fiscalização da </w:t>
      </w:r>
      <w:r>
        <w:rPr>
          <w:rFonts w:cs="Arial" w:ascii="Times New Roman" w:hAnsi="Times New Roman"/>
          <w:color w:val="000000"/>
          <w:sz w:val="24"/>
          <w:szCs w:val="24"/>
        </w:rPr>
        <w:t>entrega dos itens objeto da contratação,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10.2.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fiscalização de que trata este item não exclui nem reduz a responsabilidade da Contratada, inclusive perante terceiros, por qualquer irregularidade, ainda que resultante de imperfeições técnicas ou vícios redibitórios, e na ocorrência desta, não implica responsabilidade da Autarquia ou de seus agentes e prepostos, de conformidade com a Lei n.º 14.133/2021.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10.3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. O Fiscal do Contrato anotará em registro próprio todas as ocorrências relacionadas com a execução contratual, indicando dia, mês e ano, bem como o nome dos funcionários eventualmente envolvidos, determinando o que for necessário à regularização das falhas ou </w:t>
      </w:r>
      <w:r>
        <w:rPr>
          <w:rFonts w:ascii="Times New Roman" w:hAnsi="Times New Roman"/>
          <w:sz w:val="24"/>
          <w:szCs w:val="24"/>
        </w:rPr>
        <w:t>defeitos observados e encaminhando os apontamentos à autoridade competente para as providências cabíveis.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11. CRITÉRIOS DE PAGAMENTO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11.1.</w:t>
      </w:r>
      <w:r>
        <w:rPr>
          <w:rFonts w:ascii="Times New Roman" w:hAnsi="Times New Roman"/>
          <w:sz w:val="24"/>
          <w:szCs w:val="24"/>
          <w:lang w:eastAsia="en-US"/>
        </w:rPr>
        <w:t xml:space="preserve"> Recebida a nota fiscal ou instrumento de cobrança equivalente, correrá o prazo de 10 (dez) dias para liquidação e pagamento da despesa, na forma desta seção, prorrogáveis por período não superior à metade do inicialmente estabelecido.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11.2.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Para fins de liquidação, o setor competente deverá verificar se a </w:t>
      </w:r>
      <w:r>
        <w:rPr>
          <w:rFonts w:ascii="Times New Roman" w:hAnsi="Times New Roman"/>
          <w:sz w:val="24"/>
          <w:szCs w:val="24"/>
          <w:shd w:fill="auto" w:val="clear"/>
          <w:lang w:eastAsia="en-US"/>
        </w:rPr>
        <w:t>nota fiscal ou instrumento de cobrança equivalente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apresentada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 w:hanging="0"/>
        <w:jc w:val="both"/>
        <w:rPr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11.3.</w:t>
      </w:r>
      <w:r>
        <w:rPr>
          <w:rFonts w:ascii="Times New Roman" w:hAnsi="Times New Roman"/>
          <w:sz w:val="24"/>
          <w:szCs w:val="24"/>
        </w:rPr>
        <w:t xml:space="preserve"> Havendo erro na apresentação da </w:t>
      </w:r>
      <w:r>
        <w:rPr>
          <w:rFonts w:ascii="Times New Roman" w:hAnsi="Times New Roman"/>
          <w:sz w:val="24"/>
          <w:szCs w:val="24"/>
          <w:lang w:eastAsia="en-US"/>
        </w:rPr>
        <w:t>nota fiscal ou instrumento de cobrança equivalente</w:t>
      </w:r>
      <w:r>
        <w:rPr>
          <w:rFonts w:ascii="Times New Roman" w:hAnsi="Times New Roman"/>
          <w:sz w:val="24"/>
          <w:szCs w:val="24"/>
        </w:rPr>
        <w:t>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/>
        <w:ind w:left="-22" w:hanging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11.4.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LinkdaInternet"/>
          <w:rFonts w:ascii="Times New Roman" w:hAnsi="Times New Roman"/>
          <w:sz w:val="24"/>
          <w:szCs w:val="24"/>
          <w:lang w:eastAsia="en-US"/>
        </w:rPr>
        <w:t>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11.5. </w:t>
      </w:r>
      <w:r>
        <w:rPr>
          <w:rFonts w:ascii="Times New Roman" w:hAnsi="Times New Roman"/>
          <w:sz w:val="24"/>
          <w:szCs w:val="24"/>
        </w:rPr>
        <w:t>O pagamento será realizado por meio de depósito ou transferência em conta bancária indicada pelo fornecedor, ou meio de pagamento eletrônico, em chave cadastrada no CNPJ (PIX) da contratada.</w:t>
      </w:r>
    </w:p>
    <w:p>
      <w:pPr>
        <w:pStyle w:val="Normal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11.6</w:t>
      </w:r>
      <w:r>
        <w:rPr>
          <w:rFonts w:ascii="Times New Roman" w:hAnsi="Times New Roman"/>
          <w:sz w:val="24"/>
          <w:szCs w:val="24"/>
        </w:rPr>
        <w:t>. Quando do pagamento, será efetuada a retenção tributária prevista na legislação aplicável.</w:t>
      </w:r>
    </w:p>
    <w:p>
      <w:pPr>
        <w:pStyle w:val="Normal"/>
        <w:spacing w:lineRule="auto" w:line="276"/>
        <w:ind w:left="-22" w:hanging="0"/>
        <w:jc w:val="both"/>
        <w:rPr/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11.7</w:t>
      </w:r>
      <w:r>
        <w:rPr>
          <w:rFonts w:ascii="Times New Roman" w:hAnsi="Times New Roman"/>
          <w:sz w:val="24"/>
          <w:szCs w:val="24"/>
          <w:lang w:eastAsia="en-US"/>
        </w:rPr>
        <w:t xml:space="preserve">. O contratado regularmente optante pelo Simples Nacional, nos termos da </w:t>
      </w:r>
      <w:hyperlink r:id="rId2">
        <w:r>
          <w:rPr>
            <w:rFonts w:ascii="Times New Roman" w:hAnsi="Times New Roman"/>
            <w:sz w:val="24"/>
            <w:szCs w:val="24"/>
            <w:lang w:eastAsia="en-US"/>
          </w:rPr>
          <w:t>Lei Complementar nº 123, de 2006</w:t>
        </w:r>
      </w:hyperlink>
      <w:r>
        <w:rPr>
          <w:rFonts w:ascii="Times New Roman" w:hAnsi="Times New Roman"/>
          <w:sz w:val="24"/>
          <w:szCs w:val="24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/>
        <w:ind w:left="-79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11.8</w:t>
      </w:r>
      <w:r>
        <w:rPr>
          <w:rFonts w:ascii="Times New Roman" w:hAnsi="Times New Roman"/>
          <w:sz w:val="24"/>
          <w:szCs w:val="24"/>
          <w:lang w:eastAsia="en-US"/>
        </w:rPr>
        <w:t>. Conforme Decreto Municipal nº 3.686/2023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Normal"/>
        <w:spacing w:lineRule="auto" w:line="276"/>
        <w:ind w:left="-79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11.9. </w:t>
      </w:r>
      <w:r>
        <w:rPr>
          <w:rFonts w:ascii="Times New Roman" w:hAnsi="Times New Roman"/>
          <w:sz w:val="24"/>
          <w:szCs w:val="24"/>
        </w:rPr>
        <w:t xml:space="preserve"> Após o prazo acima referenciado, será paga multa financeira nos seguintes termos: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sz w:val="24"/>
          <w:szCs w:val="24"/>
        </w:rPr>
        <w:t xml:space="preserve">VM = VF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u w:val="single"/>
        </w:rPr>
        <w:t>0,33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  <w:vertAlign w:val="subscript"/>
        </w:rPr>
        <w:t>*</w:t>
      </w:r>
      <w:r>
        <w:rPr>
          <w:rFonts w:cs="Verdana" w:ascii="Times New Roman" w:hAnsi="Times New Roman"/>
          <w:sz w:val="24"/>
          <w:szCs w:val="24"/>
        </w:rPr>
        <w:t xml:space="preserve"> ND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Verdana" w:cs="Verdana" w:ascii="Times New Roman" w:hAnsi="Times New Roman"/>
          <w:sz w:val="24"/>
          <w:szCs w:val="24"/>
        </w:rPr>
        <w:t xml:space="preserve">        </w:t>
      </w:r>
      <w:r>
        <w:rPr>
          <w:rFonts w:cs="Verdana" w:ascii="Times New Roman" w:hAnsi="Times New Roman"/>
          <w:sz w:val="24"/>
          <w:szCs w:val="24"/>
        </w:rPr>
        <w:t>100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Onde: 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VM = Valor da Multa Financeira; </w:t>
      </w:r>
    </w:p>
    <w:p>
      <w:pPr>
        <w:pStyle w:val="Normal"/>
        <w:suppressAutoHyphens w:val="false"/>
        <w:spacing w:lineRule="auto" w:line="276"/>
        <w:rPr>
          <w:rFonts w:cs="Arial"/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VF = Valor da Nota Fiscal; </w:t>
      </w:r>
    </w:p>
    <w:p>
      <w:pPr>
        <w:pStyle w:val="ListParagraph"/>
        <w:tabs>
          <w:tab w:val="clear" w:pos="708"/>
          <w:tab w:val="left" w:pos="518" w:leader="none"/>
        </w:tabs>
        <w:ind w:left="0" w:hanging="0"/>
        <w:rPr>
          <w:rFonts w:eastAsia="Times New Roman" w:cs="Arial"/>
          <w:color w:val="000000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</w:rPr>
        <w:t>ND = Número de dias em atraso.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11.10.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11.11.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11.12.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 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/>
        <w:ind w:left="-2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>11.13.</w:t>
      </w:r>
      <w:r>
        <w:rPr>
          <w:rFonts w:cs="Arial" w:ascii="Times New Roman" w:hAnsi="Times New Roman"/>
          <w:sz w:val="24"/>
          <w:szCs w:val="24"/>
        </w:rPr>
        <w:t xml:space="preserve"> </w:t>
      </w:r>
      <w:r>
        <w:rPr>
          <w:rFonts w:cs="Arial" w:ascii="Times New Roman" w:hAnsi="Times New Roman"/>
          <w:sz w:val="24"/>
          <w:szCs w:val="24"/>
          <w:lang w:eastAsia="en-US"/>
        </w:rPr>
        <w:t xml:space="preserve">Para a efetivação do pagamento, a CONTRATADA manterá as </w:t>
      </w:r>
      <w:r>
        <w:rPr>
          <w:rFonts w:cs="Arial" w:ascii="Times New Roman" w:hAnsi="Times New Roman"/>
          <w:sz w:val="24"/>
          <w:szCs w:val="24"/>
          <w:lang w:eastAsia="pt-BR"/>
        </w:rPr>
        <w:t>condições relativas à proposta de preço e a habilitação;</w:t>
      </w:r>
    </w:p>
    <w:p>
      <w:pPr>
        <w:pStyle w:val="Default"/>
        <w:spacing w:lineRule="auto" w:line="276"/>
        <w:ind w:left="-22" w:hanging="0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 DAS SANÇÕES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</w:t>
      </w:r>
      <w:r>
        <w:rPr>
          <w:rFonts w:ascii="Times New Roman" w:hAnsi="Times New Roman"/>
          <w:iCs/>
          <w:sz w:val="24"/>
          <w:szCs w:val="24"/>
        </w:rPr>
        <w:t xml:space="preserve">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.1.1</w:t>
      </w:r>
      <w:r>
        <w:rPr>
          <w:rFonts w:ascii="Times New Roman" w:hAnsi="Times New Roman"/>
          <w:iCs/>
          <w:sz w:val="24"/>
          <w:szCs w:val="24"/>
        </w:rPr>
        <w:t>. Dar causa à inexecução parcial do contrato.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.1.2.</w:t>
      </w:r>
      <w:r>
        <w:rPr>
          <w:rFonts w:ascii="Times New Roman" w:hAnsi="Times New Roman"/>
          <w:iCs/>
          <w:sz w:val="24"/>
          <w:szCs w:val="24"/>
        </w:rPr>
        <w:t xml:space="preserve"> Dar causa à inexecução parcial que cause grave dano à Autarquia, ao funcionamento dos serviços públicos ou ao interesse coletivo.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.1.3.</w:t>
      </w:r>
      <w:r>
        <w:rPr>
          <w:rFonts w:ascii="Times New Roman" w:hAnsi="Times New Roman"/>
          <w:iCs/>
          <w:sz w:val="24"/>
          <w:szCs w:val="24"/>
        </w:rPr>
        <w:t xml:space="preserve"> Dar causa à inexecução total;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.1.4.</w:t>
      </w:r>
      <w:r>
        <w:rPr>
          <w:rFonts w:ascii="Times New Roman" w:hAnsi="Times New Roman"/>
          <w:iCs/>
          <w:sz w:val="24"/>
          <w:szCs w:val="24"/>
        </w:rPr>
        <w:t xml:space="preserve"> Deixar de entregar a documentação exigida para o certame.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.1.5.</w:t>
      </w:r>
      <w:r>
        <w:rPr>
          <w:rFonts w:ascii="Times New Roman" w:hAnsi="Times New Roman"/>
          <w:iCs/>
          <w:sz w:val="24"/>
          <w:szCs w:val="24"/>
        </w:rPr>
        <w:t xml:space="preserve"> Não manter a proposta, salvo em decorrência de fato superveniente devidamente justificado.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.1.6</w:t>
      </w:r>
      <w:r>
        <w:rPr>
          <w:rFonts w:ascii="Times New Roman" w:hAnsi="Times New Roman"/>
          <w:iCs/>
          <w:sz w:val="24"/>
          <w:szCs w:val="24"/>
        </w:rPr>
        <w:t xml:space="preserve">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.1.7.</w:t>
      </w:r>
      <w:r>
        <w:rPr>
          <w:rFonts w:ascii="Times New Roman" w:hAnsi="Times New Roman"/>
          <w:iCs/>
          <w:sz w:val="24"/>
          <w:szCs w:val="24"/>
        </w:rPr>
        <w:t xml:space="preserve"> Ensejar o retardamento da execução ou da entrega do objeto sem motivo justificado;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.1.8</w:t>
      </w:r>
      <w:r>
        <w:rPr>
          <w:rFonts w:ascii="Times New Roman" w:hAnsi="Times New Roman"/>
          <w:iCs/>
          <w:sz w:val="24"/>
          <w:szCs w:val="24"/>
        </w:rPr>
        <w:t>. Apresentar declaração ou documentação falsa exigida para o certame ou prestar declaração falsa durante a dispensa física ou 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12.1.9.</w:t>
      </w:r>
      <w:r>
        <w:rPr>
          <w:rFonts w:ascii="Times New Roman" w:hAnsi="Times New Roman"/>
          <w:iCs/>
          <w:sz w:val="24"/>
          <w:szCs w:val="24"/>
        </w:rPr>
        <w:t xml:space="preserve"> Fraudar a dispensa física ou praticar ato fraudulento na execução do objeto.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.1.10.</w:t>
      </w:r>
      <w:r>
        <w:rPr>
          <w:rFonts w:ascii="Times New Roman" w:hAnsi="Times New Roman"/>
          <w:iCs/>
          <w:sz w:val="24"/>
          <w:szCs w:val="24"/>
        </w:rPr>
        <w:t xml:space="preserve"> Comportar-se de modo inidôneo ou cometer fraude de qualquer natureza.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.1.10.1</w:t>
      </w:r>
      <w:r>
        <w:rPr>
          <w:rFonts w:ascii="Times New Roman" w:hAnsi="Times New Roman"/>
          <w:iCs/>
          <w:sz w:val="24"/>
          <w:szCs w:val="24"/>
        </w:rPr>
        <w:t>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.1.11.</w:t>
      </w:r>
      <w:r>
        <w:rPr>
          <w:rFonts w:ascii="Times New Roman" w:hAnsi="Times New Roman"/>
          <w:iCs/>
          <w:sz w:val="24"/>
          <w:szCs w:val="24"/>
        </w:rPr>
        <w:t xml:space="preserve"> Praticar atos ilícitos com vistas a frustrar os objetivos deste certame.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.1.12</w:t>
      </w:r>
      <w:r>
        <w:rPr>
          <w:rFonts w:ascii="Times New Roman" w:hAnsi="Times New Roman"/>
          <w:iCs/>
          <w:sz w:val="24"/>
          <w:szCs w:val="24"/>
        </w:rPr>
        <w:t>. Praticar ato lesivo previsto no art. 5º da Lei nº 12.846, de 1º de agosto de 2013.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12.1.13.</w:t>
      </w:r>
      <w:r>
        <w:rPr>
          <w:rFonts w:ascii="Times New Roman" w:hAnsi="Times New Roman"/>
          <w:iCs/>
          <w:sz w:val="24"/>
          <w:szCs w:val="24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>a) Advertência pela falta do subitem 12.1.1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  <w:t xml:space="preserve">b) Multa, calculada na forma do edital, com base no total do valor da contratação realizada de forma direta e será aplicada ao responsável por qualquer das infrações administrativas previstas no item 10.1 deste Termo de Referência, no percentual de 10% (dez por cento), na hipótese de cometimento das infrações previstas nos itens 12.1.1 a </w:t>
      </w:r>
      <w:r>
        <w:rPr>
          <w:rFonts w:ascii="Times New Roman" w:hAnsi="Times New Roman"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iCs/>
          <w:sz w:val="24"/>
          <w:szCs w:val="24"/>
        </w:rPr>
        <w:t>.1.7 e 20% (vinte por cento), se cometidas infrações previstas nos itens 12.1.8 a 12.1.12;</w:t>
      </w:r>
    </w:p>
    <w:p>
      <w:pPr>
        <w:pStyle w:val="Normal"/>
        <w:spacing w:lineRule="auto" w:line="276"/>
        <w:ind w:left="-57" w:hanging="0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ab/>
        <w:tab/>
        <w:t>b.1) O valor da multa poderá ser descontado das faturas devidas à CONTRATADA;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ab/>
        <w:t>b.2) A multa pode ser aplicada isoladamente ou com as penalidades definidas nos itens “c” e “d” abaixo: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>c) Impedimento de licitar e contratar no âmbito da Administração Pública direta e indireta do ente federativo que tiver aplicado a sanção, pelo prazo máximo de 03 (três) anos, nos casos dos subitens 12.1.2 a 12.1.7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iCs/>
        </w:rPr>
      </w:pPr>
      <w:r>
        <w:rPr>
          <w:rFonts w:ascii="Times New Roman" w:hAnsi="Times New Roman"/>
          <w:iCs/>
          <w:sz w:val="24"/>
          <w:szCs w:val="24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12.1.8 a 12.1.12, deste Termo de Referência.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.3.</w:t>
      </w:r>
      <w:r>
        <w:rPr>
          <w:rFonts w:ascii="Times New Roman" w:hAnsi="Times New Roman"/>
          <w:iCs/>
          <w:sz w:val="24"/>
          <w:szCs w:val="24"/>
        </w:rPr>
        <w:t xml:space="preserve"> Na aplicação das sanções serão considerados: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.3.1</w:t>
      </w:r>
      <w:r>
        <w:rPr>
          <w:rFonts w:ascii="Times New Roman" w:hAnsi="Times New Roman"/>
          <w:iCs/>
          <w:sz w:val="24"/>
          <w:szCs w:val="24"/>
        </w:rPr>
        <w:t>. A natureza e a gravidade da infração cometida.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12.3.2</w:t>
      </w:r>
      <w:r>
        <w:rPr>
          <w:rFonts w:ascii="Times New Roman" w:hAnsi="Times New Roman"/>
          <w:iCs/>
          <w:sz w:val="24"/>
          <w:szCs w:val="24"/>
        </w:rPr>
        <w:t>. As peculiaridades do caso concreto.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12.3.3.</w:t>
      </w:r>
      <w:r>
        <w:rPr>
          <w:rFonts w:ascii="Times New Roman" w:hAnsi="Times New Roman"/>
          <w:iCs/>
          <w:sz w:val="24"/>
          <w:szCs w:val="24"/>
        </w:rPr>
        <w:t xml:space="preserve"> As circunstâncias agravantes ou atenuantes.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12.3.4.</w:t>
      </w:r>
      <w:r>
        <w:rPr>
          <w:rFonts w:ascii="Times New Roman" w:hAnsi="Times New Roman"/>
          <w:iCs/>
          <w:sz w:val="24"/>
          <w:szCs w:val="24"/>
        </w:rPr>
        <w:t xml:space="preserve"> Os danos que dela provierem para a Autarquia.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12</w:t>
      </w:r>
      <w:r>
        <w:rPr>
          <w:rFonts w:ascii="Times New Roman" w:hAnsi="Times New Roman"/>
          <w:b/>
          <w:bCs/>
          <w:iCs/>
          <w:sz w:val="24"/>
          <w:szCs w:val="24"/>
        </w:rPr>
        <w:t>.3.5.</w:t>
      </w:r>
      <w:r>
        <w:rPr>
          <w:rFonts w:ascii="Times New Roman" w:hAnsi="Times New Roman"/>
          <w:iCs/>
          <w:sz w:val="24"/>
          <w:szCs w:val="24"/>
        </w:rPr>
        <w:t xml:space="preserve"> A implantação ou o aperfeiçoamento de programa de integridade, conforme normas e orientações dos órgãos de controle.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12.4.</w:t>
      </w:r>
      <w:r>
        <w:rPr>
          <w:rFonts w:ascii="Times New Roman" w:hAnsi="Times New Roman"/>
          <w:iCs/>
          <w:sz w:val="24"/>
          <w:szCs w:val="24"/>
        </w:rPr>
        <w:t xml:space="preserve"> Se a multa aplicada e as indenizações cabíveis forem superiores ao valor de pagamento eventualmente devido pela Autarquia à CONTRATADA, além da perda desse valor, a diferença será descontada da garantia prestada ou será cobrada judicialmente.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en-US"/>
        </w:rPr>
        <w:t>12.5</w:t>
      </w:r>
      <w:r>
        <w:rPr>
          <w:rFonts w:ascii="Times New Roman" w:hAnsi="Times New Roman"/>
          <w:iCs/>
          <w:sz w:val="24"/>
          <w:szCs w:val="24"/>
          <w:lang w:eastAsia="en-US"/>
        </w:rPr>
        <w:t>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ind w:left="-79" w:hanging="0"/>
        <w:jc w:val="both"/>
        <w:rPr>
          <w:b/>
          <w:b/>
          <w:bCs/>
          <w:shd w:fill="auto" w:val="clear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  <w:lang w:eastAsia="en-US"/>
        </w:rPr>
        <w:t>13. DA HABILITAÇÃO</w:t>
      </w:r>
    </w:p>
    <w:p>
      <w:pPr>
        <w:pStyle w:val="Normal"/>
        <w:spacing w:lineRule="auto" w:line="276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cs="Verdana" w:ascii="Times New Roman" w:hAnsi="Times New Roman"/>
          <w:sz w:val="24"/>
          <w:szCs w:val="24"/>
          <w:lang w:eastAsia="ar-SA"/>
        </w:rPr>
        <w:t>13.1</w:t>
      </w:r>
      <w:r>
        <w:rPr>
          <w:rFonts w:cs="Verdana" w:ascii="Times New Roman" w:hAnsi="Times New Roman"/>
          <w:b w:val="false"/>
          <w:sz w:val="24"/>
          <w:szCs w:val="24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sz w:val="24"/>
          <w:szCs w:val="24"/>
          <w:lang w:eastAsia="ar-SA"/>
        </w:rPr>
        <w:t>a) Cadastro Nacional de Condenações Cíveis por Atos de Improbidade Administrativa, mantido pelo Conselho Nacional de Justiça (</w:t>
      </w:r>
      <w:hyperlink r:id="rId3">
        <w:r>
          <w:rPr>
            <w:rFonts w:cs="Verdana" w:ascii="Times New Roman" w:hAnsi="Times New Roman"/>
            <w:color w:val="000080"/>
            <w:sz w:val="24"/>
            <w:szCs w:val="24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Times New Roman" w:hAnsi="Times New Roman"/>
          <w:sz w:val="24"/>
          <w:szCs w:val="24"/>
          <w:lang w:eastAsia="ar-SA"/>
        </w:rPr>
        <w:t>).</w:t>
      </w:r>
    </w:p>
    <w:p>
      <w:pPr>
        <w:pStyle w:val="ListParagraph"/>
        <w:spacing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sz w:val="24"/>
          <w:szCs w:val="24"/>
          <w:lang w:eastAsia="ar-SA"/>
        </w:rPr>
        <w:t>b) Cadastro de empresas inid</w:t>
      </w:r>
      <w:r>
        <w:rPr>
          <w:rFonts w:cs="Verdana" w:ascii="Times New Roman" w:hAnsi="Times New Roman"/>
          <w:sz w:val="24"/>
          <w:szCs w:val="24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4">
        <w:r>
          <w:rPr>
            <w:rFonts w:cs="Verdana" w:ascii="Times New Roman" w:hAnsi="Times New Roman"/>
            <w:color w:val="000080"/>
            <w:sz w:val="24"/>
            <w:szCs w:val="24"/>
            <w:u w:val="single"/>
          </w:rPr>
          <w:t>https://www.tcees.tc.br/portal-da-transparencia/consultas/lista-de</w:t>
        </w:r>
      </w:hyperlink>
      <w:r>
        <w:rPr>
          <w:rFonts w:cs="Verdana" w:ascii="Times New Roman" w:hAnsi="Times New Roman"/>
          <w:sz w:val="24"/>
          <w:szCs w:val="24"/>
        </w:rPr>
        <w:t xml:space="preserve"> responsáveis/proibidos-de-contratar/).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>13.1.1.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Para a consulta de licitantes pessoa jurídica poderá haver a substituição das consultas das alínea “b” acima pela Consulta Consolidada de Pessoa Jurídica do TCU (</w:t>
      </w:r>
      <w:hyperlink r:id="rId5">
        <w:r>
          <w:rPr>
            <w:rFonts w:cs="Verdana" w:ascii="Times New Roman" w:hAnsi="Times New Roman"/>
            <w:color w:val="000080"/>
            <w:sz w:val="24"/>
            <w:szCs w:val="24"/>
            <w:u w:val="single"/>
            <w:lang w:eastAsia="ar-SA"/>
          </w:rPr>
          <w:t>https://certidoesapf.apps.tcu.gov.br/</w:t>
        </w:r>
      </w:hyperlink>
      <w:r>
        <w:rPr>
          <w:rFonts w:cs="Verdana" w:ascii="Times New Roman" w:hAnsi="Times New Roman"/>
          <w:sz w:val="24"/>
          <w:szCs w:val="24"/>
          <w:lang w:eastAsia="ar-SA"/>
        </w:rPr>
        <w:t>);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13.1.2. </w:t>
      </w:r>
      <w:r>
        <w:rPr>
          <w:rFonts w:cs="Verdana" w:ascii="Times New Roman" w:hAnsi="Times New Roman"/>
          <w:color w:val="000000"/>
          <w:sz w:val="24"/>
          <w:szCs w:val="24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13.1.2.1.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13.1.2.2.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13.1.2.3.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O licitante será convocado para manifestação previamente à sua desclassificação.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13.1.3.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Constatada a existência de sanção, o Agente de Contratação reputará o licitante inabilitado, por falta de condição de participação.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13.1.4.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inabilitação, haverá nova verificação,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13.2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 Havendo a necessidade de envio de documentos de habilitação complementares, necessários à confirmação daqueles exigidos neste Edital e já apresentados, o licitante será convocado a fornecê-los, em formato digital ou físico, via e-mail ou pessoalmente na sede do Instituto de Previdência, no prazo estabelecido, sob pena de inabilitação.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13.3</w:t>
      </w:r>
      <w:r>
        <w:rPr>
          <w:rFonts w:cs="Verdana" w:ascii="Times New Roman" w:hAnsi="Times New Roman"/>
          <w:sz w:val="24"/>
          <w:szCs w:val="24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13.4</w:t>
      </w:r>
      <w:r>
        <w:rPr>
          <w:rFonts w:cs="Verdana" w:ascii="Times New Roman" w:hAnsi="Times New Roman"/>
          <w:sz w:val="24"/>
          <w:szCs w:val="24"/>
        </w:rPr>
        <w:t xml:space="preserve"> Não serão aceitos documentos de habilitação com indicação de CNPJ/CPF diferentes, salvo aqueles legalmente permitidos.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57" w:after="57"/>
        <w:ind w:hanging="0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</w:rPr>
        <w:t>13.5</w:t>
      </w:r>
      <w:r>
        <w:rPr>
          <w:rFonts w:cs="Verdana" w:ascii="Times New Roman" w:hAnsi="Times New Roman"/>
          <w:sz w:val="24"/>
          <w:szCs w:val="24"/>
        </w:rPr>
        <w:t xml:space="preserve">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57" w:after="57"/>
        <w:ind w:hanging="0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 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</w:rPr>
        <w:t>O</w:t>
      </w:r>
      <w:r>
        <w:rPr>
          <w:rFonts w:cs="Verdana" w:ascii="Times New Roman" w:hAnsi="Times New Roman"/>
          <w:color w:val="000000"/>
          <w:sz w:val="24"/>
          <w:szCs w:val="24"/>
        </w:rPr>
        <w:t>s licitantes deverão encaminhar, conforme este Termo de Referência, a documentação relacionada nos itens a seguir, para fins de habilitação: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cs="Verdana"/>
          <w:b/>
          <w:b/>
          <w:bCs/>
          <w:color w:val="000000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 Habilitação jurídica: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13.6.1.1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No caso de empresário individual: inscrição no Registro Público de Empresas Mercantis, a cargo da Junta Comercial da respectiva sede;</w:t>
      </w:r>
    </w:p>
    <w:p>
      <w:pPr>
        <w:pStyle w:val="ListParagraph"/>
        <w:spacing w:before="57" w:after="57"/>
        <w:ind w:left="0" w:hanging="0"/>
        <w:contextualSpacing/>
        <w:jc w:val="both"/>
        <w:rPr/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13.6.1.2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Em se tratando de microempreendedor individual – MEI: Certificado da Condição de Microempreendedor Individual – CCMEI, cuja aceitação ficará condicionada à verificação da autenticidade no sítio </w:t>
      </w:r>
      <w:hyperlink r:id="rId6">
        <w:r>
          <w:rPr>
            <w:rFonts w:cs="Verdana" w:ascii="Times New Roman" w:hAnsi="Times New Roman"/>
            <w:bCs/>
            <w:color w:val="000000"/>
            <w:sz w:val="24"/>
            <w:szCs w:val="24"/>
            <w:u w:val="single"/>
          </w:rPr>
          <w:t>www.portaldoempreendedor.gov.br</w:t>
        </w:r>
      </w:hyperlink>
      <w:r>
        <w:rPr>
          <w:rFonts w:cs="Verdana" w:ascii="Times New Roman" w:hAnsi="Times New Roman"/>
          <w:bCs/>
          <w:color w:val="000000"/>
          <w:sz w:val="24"/>
          <w:szCs w:val="24"/>
        </w:rPr>
        <w:t>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13.6.1.3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13.6.1.4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13.6.1.5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13.6.1.6 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13.6.1.7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No caso de empresa ou sociedade estrangeira em funcionamento no País: decreto de autorização;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>13.6.1.8</w:t>
      </w:r>
      <w:r>
        <w:rPr>
          <w:rFonts w:cs="Verdana" w:ascii="Times New Roman" w:hAnsi="Times New Roman"/>
          <w:bCs/>
          <w:color w:val="000000"/>
          <w:sz w:val="24"/>
          <w:szCs w:val="24"/>
        </w:rPr>
        <w:t xml:space="preserve"> Os documentos acima deverão estar acompanhados de todas as alterações ou da consolidação respectiva;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</w:rPr>
        <w:t xml:space="preserve">13.6.2 Regularidade fiscal </w:t>
      </w:r>
      <w:r>
        <w:rPr>
          <w:rFonts w:cs="Verdana" w:ascii="Times New Roman" w:hAnsi="Times New Roman"/>
          <w:b/>
          <w:bCs/>
          <w:sz w:val="24"/>
          <w:szCs w:val="24"/>
        </w:rPr>
        <w:t>e trabalhista</w:t>
      </w:r>
      <w:r>
        <w:rPr>
          <w:rFonts w:cs="Verdana" w:ascii="Times New Roman" w:hAnsi="Times New Roman"/>
          <w:b/>
          <w:bCs/>
          <w:color w:val="0000FF"/>
          <w:sz w:val="24"/>
          <w:szCs w:val="24"/>
        </w:rPr>
        <w:t>: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en-US"/>
        </w:rPr>
        <w:t>13.6.2.1</w:t>
      </w:r>
      <w:r>
        <w:rPr>
          <w:rFonts w:cs="Verdana" w:ascii="Times New Roman" w:hAnsi="Times New Roman"/>
          <w:sz w:val="24"/>
          <w:szCs w:val="24"/>
          <w:lang w:eastAsia="en-US"/>
        </w:rPr>
        <w:t xml:space="preserve"> Prova de inscrição no Cadastro Nacional de Pessoas Jurídicas ou no Cadastro de Pessoas Físicas, conforme o caso;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en-US"/>
        </w:rPr>
        <w:t xml:space="preserve">13.6.2.2 </w:t>
      </w:r>
      <w:r>
        <w:rPr>
          <w:rFonts w:cs="Verdana" w:ascii="Times New Roman" w:hAnsi="Times New Roman"/>
          <w:sz w:val="24"/>
          <w:szCs w:val="24"/>
          <w:lang w:eastAsia="en-US"/>
        </w:rPr>
        <w:t>Certidão de regularidade junto à fazenda pública</w:t>
      </w:r>
      <w:r>
        <w:rPr>
          <w:rFonts w:cs="Verdana" w:ascii="Times New Roman" w:hAnsi="Times New Roman"/>
          <w:b/>
          <w:sz w:val="24"/>
          <w:szCs w:val="24"/>
          <w:lang w:eastAsia="en-US"/>
        </w:rPr>
        <w:t xml:space="preserve"> Municipal, </w:t>
      </w:r>
      <w:r>
        <w:rPr>
          <w:rFonts w:cs="Verdana" w:ascii="Times New Roman" w:hAnsi="Times New Roman"/>
          <w:sz w:val="24"/>
          <w:szCs w:val="24"/>
          <w:lang w:eastAsia="en-US"/>
        </w:rPr>
        <w:t>do domicílio do Licitante</w:t>
      </w:r>
      <w:r>
        <w:rPr>
          <w:rFonts w:cs="Verdana" w:ascii="Times New Roman" w:hAnsi="Times New Roman"/>
          <w:b/>
          <w:sz w:val="24"/>
          <w:szCs w:val="24"/>
          <w:lang w:eastAsia="en-US"/>
        </w:rPr>
        <w:t>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en-US"/>
        </w:rPr>
        <w:t>13.6.2.3</w:t>
      </w:r>
      <w:r>
        <w:rPr>
          <w:rFonts w:cs="Verdana" w:ascii="Times New Roman" w:hAnsi="Times New Roman"/>
          <w:b/>
          <w:bCs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</w:rPr>
        <w:t>Certidão de regularidade junto à fazenda pública</w:t>
      </w:r>
      <w:r>
        <w:rPr>
          <w:rFonts w:cs="Verdana" w:ascii="Times New Roman" w:hAnsi="Times New Roman"/>
          <w:b/>
          <w:sz w:val="24"/>
          <w:szCs w:val="24"/>
        </w:rPr>
        <w:t xml:space="preserve"> Estadual, </w:t>
      </w:r>
      <w:r>
        <w:rPr>
          <w:rFonts w:cs="Verdana" w:ascii="Times New Roman" w:hAnsi="Times New Roman"/>
          <w:sz w:val="24"/>
          <w:szCs w:val="24"/>
        </w:rPr>
        <w:t>do domicílio do Licitante</w:t>
      </w:r>
      <w:r>
        <w:rPr>
          <w:rFonts w:cs="Verdana" w:ascii="Times New Roman" w:hAnsi="Times New Roman"/>
          <w:b/>
          <w:sz w:val="24"/>
          <w:szCs w:val="24"/>
        </w:rPr>
        <w:t>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en-US"/>
        </w:rPr>
        <w:t>13.6.2.4</w:t>
      </w:r>
      <w:r>
        <w:rPr>
          <w:rFonts w:cs="Verdana" w:ascii="Times New Roman" w:hAnsi="Times New Roman"/>
          <w:sz w:val="24"/>
          <w:szCs w:val="24"/>
        </w:rPr>
        <w:t xml:space="preserve"> Certidão conjunta de regularidade junto à fazenda pública </w:t>
      </w:r>
      <w:r>
        <w:rPr>
          <w:rFonts w:cs="Verdana" w:ascii="Times New Roman" w:hAnsi="Times New Roman"/>
          <w:b/>
          <w:sz w:val="24"/>
          <w:szCs w:val="24"/>
        </w:rPr>
        <w:t>Federal,</w:t>
      </w:r>
      <w:r>
        <w:rPr>
          <w:rFonts w:cs="Verdana" w:ascii="Times New Roman" w:hAnsi="Times New Roman"/>
          <w:sz w:val="24"/>
          <w:szCs w:val="24"/>
        </w:rPr>
        <w:t xml:space="preserve"> </w:t>
      </w:r>
      <w:r>
        <w:rPr>
          <w:rFonts w:cs="Verdana" w:ascii="Times New Roman" w:hAnsi="Times New Roman"/>
          <w:b/>
          <w:sz w:val="24"/>
          <w:szCs w:val="24"/>
        </w:rPr>
        <w:t xml:space="preserve">(Quitação de tributos e contribuições Federais e Quanto à dívida ativa da União) </w:t>
      </w:r>
      <w:r>
        <w:rPr>
          <w:rFonts w:cs="Verdana" w:ascii="Times New Roman" w:hAnsi="Times New Roman"/>
          <w:sz w:val="24"/>
          <w:szCs w:val="24"/>
        </w:rPr>
        <w:t>e junto ao</w:t>
      </w:r>
      <w:r>
        <w:rPr>
          <w:rFonts w:cs="Verdana" w:ascii="Times New Roman" w:hAnsi="Times New Roman"/>
          <w:b/>
          <w:sz w:val="24"/>
          <w:szCs w:val="24"/>
        </w:rPr>
        <w:t xml:space="preserve"> INSS, conforme Portaria MF nº 358 de 05/09/2014;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en-US"/>
        </w:rPr>
        <w:t>13.6.2.5</w:t>
      </w:r>
      <w:r>
        <w:rPr>
          <w:rFonts w:cs="Verdana" w:ascii="Times New Roman" w:hAnsi="Times New Roman"/>
          <w:b/>
          <w:bCs/>
          <w:sz w:val="24"/>
          <w:szCs w:val="24"/>
        </w:rPr>
        <w:t xml:space="preserve"> </w:t>
      </w:r>
      <w:r>
        <w:rPr>
          <w:rFonts w:cs="Verdana" w:ascii="Times New Roman" w:hAnsi="Times New Roman"/>
          <w:sz w:val="24"/>
          <w:szCs w:val="24"/>
        </w:rPr>
        <w:t>Certidão de regularidade junto ao</w:t>
      </w:r>
      <w:r>
        <w:rPr>
          <w:rFonts w:cs="Verdana" w:ascii="Times New Roman" w:hAnsi="Times New Roman"/>
          <w:b/>
          <w:sz w:val="24"/>
          <w:szCs w:val="24"/>
        </w:rPr>
        <w:t xml:space="preserve"> FGTS;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en-US"/>
        </w:rPr>
        <w:t xml:space="preserve">13.6.2.6 </w:t>
      </w:r>
      <w:r>
        <w:rPr>
          <w:rFonts w:cs="Verdana" w:ascii="Times New Roman" w:hAnsi="Times New Roman"/>
          <w:sz w:val="24"/>
          <w:szCs w:val="24"/>
          <w:lang w:eastAsia="en-US"/>
        </w:rPr>
        <w:t>Certidão Negativa De Débitos Trabalhistas (CNDT) de acordo com a Lei 12440 de 7 de julho de 2011.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  <w:lang w:eastAsia="en-US" w:bidi="pt-BR"/>
        </w:rPr>
        <w:t>13.6.2.7</w:t>
      </w:r>
      <w:r>
        <w:rPr>
          <w:rFonts w:cs="Verdana" w:ascii="Times New Roman" w:hAnsi="Times New Roman"/>
          <w:color w:val="000000"/>
          <w:sz w:val="24"/>
          <w:szCs w:val="24"/>
          <w:lang w:eastAsia="en-US" w:bidi="pt-BR"/>
        </w:rPr>
        <w:t xml:space="preserve"> Caso o vencedor do menor preço seja qualificado como microempresa ou empresa de pequeno porte </w:t>
      </w:r>
      <w:r>
        <w:rPr>
          <w:rFonts w:cs="Verdana" w:ascii="Times New Roman" w:hAnsi="Times New Roman"/>
          <w:color w:val="000000"/>
          <w:sz w:val="24"/>
          <w:szCs w:val="24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 w:before="57" w:after="57"/>
        <w:jc w:val="both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13.6.3 Da Qualificação técnica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eastAsia="Courier New" w:cs="Arial" w:ascii="Times New Roman" w:hAnsi="Times New Roman"/>
          <w:b/>
          <w:bCs/>
          <w:sz w:val="24"/>
          <w:szCs w:val="24"/>
        </w:rPr>
        <w:t xml:space="preserve">13.6.3.1 </w:t>
      </w:r>
      <w:r>
        <w:rPr>
          <w:rFonts w:eastAsia="Courier New" w:cs="Arial" w:ascii="Times New Roman" w:hAnsi="Times New Roman"/>
          <w:b w:val="false"/>
          <w:bCs w:val="false"/>
          <w:sz w:val="24"/>
          <w:szCs w:val="24"/>
        </w:rPr>
        <w:t>A equipe técnica da contratada deverá ter formação compatível com os serviços a serem realizados e comprovada a capacidade técnica mediante atestados específicos, inclusive, quanto a certificações específicas pelos órgãos de fiscalização profissional, contando com quadro técnico</w:t>
      </w:r>
      <w:r>
        <w:rPr>
          <w:rFonts w:eastAsia="Courier New" w:cs="Arial" w:ascii="Times New Roman" w:hAnsi="Times New Roman"/>
          <w:b w:val="false"/>
          <w:bCs w:val="false"/>
          <w:sz w:val="24"/>
          <w:szCs w:val="24"/>
          <w:highlight w:val="white"/>
        </w:rPr>
        <w:t xml:space="preserve"> de profissionais</w:t>
      </w:r>
      <w:r>
        <w:rPr>
          <w:rFonts w:cs="Arial" w:ascii="Times New Roman" w:hAnsi="Times New Roman"/>
          <w:b w:val="false"/>
          <w:bCs w:val="false"/>
          <w:sz w:val="24"/>
          <w:szCs w:val="24"/>
          <w:highlight w:val="white"/>
        </w:rPr>
        <w:t xml:space="preserve"> devidamente inscritos no Instituto Brasileiro de Atuária (IBA) e no mínimo 03 (três) Consultores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que possuam formação acadêmica em quaisquer das seguintes áreas: Finanças, Economia, Engenharia, Estatística, Direito, Contabilidade ou Ciências Atuariais.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sz w:val="24"/>
          <w:szCs w:val="24"/>
        </w:rPr>
      </w:pPr>
      <w:r>
        <w:rPr>
          <w:rFonts w:eastAsia="Courier New" w:cs="Arial" w:ascii="Times New Roman" w:hAnsi="Times New Roman"/>
          <w:b/>
          <w:bCs/>
          <w:sz w:val="24"/>
          <w:szCs w:val="24"/>
        </w:rPr>
        <w:t xml:space="preserve">13.6.3.2 </w:t>
      </w:r>
      <w:r>
        <w:rPr>
          <w:rFonts w:eastAsia="Courier New" w:cs="Arial" w:ascii="Times New Roman" w:hAnsi="Times New Roman"/>
          <w:b w:val="false"/>
          <w:bCs w:val="false"/>
          <w:sz w:val="24"/>
          <w:szCs w:val="24"/>
        </w:rPr>
        <w:t>O(s) atestado(s) deverão ser apresentados em papel timbrado, original ou cópia reprográfica autenticada, assinados por autoridade ou representante de quem os expediu, com a devida identificação e cargo.</w:t>
      </w:r>
    </w:p>
    <w:p>
      <w:pPr>
        <w:pStyle w:val="Normal"/>
        <w:spacing w:lineRule="exact" w:line="19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235"/>
        <w:jc w:val="both"/>
        <w:rPr>
          <w:rFonts w:ascii="Times New Roman" w:hAnsi="Times New Roman"/>
          <w:sz w:val="24"/>
          <w:szCs w:val="24"/>
        </w:rPr>
      </w:pPr>
      <w:r>
        <w:rPr>
          <w:rFonts w:eastAsia="Courier New" w:cs="Arial" w:ascii="Times New Roman" w:hAnsi="Times New Roman"/>
          <w:b/>
          <w:bCs/>
          <w:sz w:val="24"/>
          <w:szCs w:val="24"/>
        </w:rPr>
        <w:t xml:space="preserve">13.6.3.3 </w:t>
      </w:r>
      <w:r>
        <w:rPr>
          <w:rFonts w:eastAsia="Courier New" w:cs="Arial" w:ascii="Times New Roman" w:hAnsi="Times New Roman"/>
          <w:b w:val="false"/>
          <w:bCs w:val="false"/>
          <w:sz w:val="24"/>
          <w:szCs w:val="24"/>
        </w:rPr>
        <w:t>Junto com a relação dos profissionais devem constar cópias autenticadas da inscrição no órgão competente, bem como demonstrar relação dos mesmos com a empresa licitante.</w:t>
      </w:r>
    </w:p>
    <w:p>
      <w:pPr>
        <w:pStyle w:val="Normal"/>
        <w:spacing w:lineRule="auto" w:line="276" w:before="57" w:after="57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ListParagraph"/>
        <w:tabs>
          <w:tab w:val="clear" w:pos="708"/>
          <w:tab w:val="left" w:pos="567" w:leader="none"/>
        </w:tabs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sz w:val="24"/>
          <w:szCs w:val="24"/>
          <w:lang w:eastAsia="ar-SA"/>
        </w:rPr>
        <w:t>13.7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</w:t>
      </w:r>
      <w:r>
        <w:rPr>
          <w:rFonts w:cs="Verdana" w:ascii="Times New Roman" w:hAnsi="Times New Roman"/>
          <w:color w:val="000000"/>
          <w:sz w:val="24"/>
          <w:szCs w:val="24"/>
        </w:rPr>
        <w:t xml:space="preserve">Caso atendidas as condições de participação, </w:t>
      </w:r>
      <w:r>
        <w:rPr>
          <w:rFonts w:cs="Verdana" w:ascii="Times New Roman" w:hAnsi="Times New Roman"/>
          <w:sz w:val="24"/>
          <w:szCs w:val="24"/>
        </w:rPr>
        <w:t>a habilitação dos licitantes será verificada por meio do SICAF, nos documentos por ele abrangidos</w:t>
      </w:r>
      <w:r>
        <w:rPr>
          <w:rFonts w:cs="Verdana" w:ascii="Times New Roman" w:hAnsi="Times New Roman"/>
          <w:sz w:val="24"/>
          <w:szCs w:val="24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before="57" w:after="57"/>
        <w:ind w:lef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Verdana" w:ascii="Times New Roman" w:hAnsi="Times New Roman"/>
          <w:b/>
          <w:bCs/>
          <w:color w:val="000000"/>
          <w:sz w:val="24"/>
          <w:szCs w:val="24"/>
          <w:lang w:eastAsia="ar-SA"/>
        </w:rPr>
        <w:t xml:space="preserve">13.7.1 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  <w:t xml:space="preserve">Quando não for possível a verificação da regularidade no Sistema de Cadastro de Fornecedores – SICAF, o Agente de Contratações verificará a habilitação do fornecedor pelos documentos constantes nos itens </w:t>
      </w:r>
      <w:r>
        <w:rPr>
          <w:rFonts w:cs="Verdana" w:ascii="Times New Roman" w:hAnsi="Times New Roman"/>
          <w:b/>
          <w:bCs/>
          <w:color w:val="000000"/>
          <w:sz w:val="24"/>
          <w:szCs w:val="24"/>
          <w:lang w:eastAsia="ar-SA"/>
        </w:rPr>
        <w:t xml:space="preserve">13.6.1 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  <w:t xml:space="preserve">e </w:t>
      </w:r>
      <w:r>
        <w:rPr>
          <w:rFonts w:cs="Verdana" w:ascii="Times New Roman" w:hAnsi="Times New Roman"/>
          <w:b/>
          <w:bCs/>
          <w:color w:val="000000"/>
          <w:sz w:val="24"/>
          <w:szCs w:val="24"/>
          <w:lang w:eastAsia="ar-SA"/>
        </w:rPr>
        <w:t>13.6.2</w:t>
      </w:r>
      <w:r>
        <w:rPr>
          <w:rFonts w:cs="Verdana" w:ascii="Times New Roman" w:hAnsi="Times New Roman"/>
          <w:b w:val="false"/>
          <w:bCs w:val="false"/>
          <w:color w:val="000000"/>
          <w:sz w:val="24"/>
          <w:szCs w:val="24"/>
          <w:lang w:eastAsia="ar-SA"/>
        </w:rPr>
        <w:t>.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76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14.  ADEQUAÇÃO ORÇAMENTÁRIA</w:t>
      </w:r>
    </w:p>
    <w:p>
      <w:pPr>
        <w:pStyle w:val="ListParagraph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14.1. </w:t>
      </w:r>
      <w:r>
        <w:rPr>
          <w:rFonts w:ascii="Times New Roman" w:hAnsi="Times New Roman"/>
          <w:sz w:val="24"/>
          <w:szCs w:val="24"/>
        </w:rPr>
        <w:t>As despesas decorrentes da presente contratação correrão à conta de recursos específicos consignados na Lei Orçamentária Anual, bem como requisição do sistema presente nos autos, sendo a contratação atendida pela seguinte dotação: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cs="Arial"/>
        </w:rPr>
      </w:pPr>
      <w:r>
        <w:rPr>
          <w:rFonts w:cs="Arial" w:ascii="Times New Roman" w:hAnsi="Times New Roman"/>
          <w:sz w:val="24"/>
          <w:szCs w:val="24"/>
        </w:rPr>
        <w:t>FICHA – FONTE: 0000654-180200000000.</w:t>
      </w:r>
    </w:p>
    <w:p>
      <w:pPr>
        <w:pStyle w:val="Normal"/>
        <w:spacing w:lineRule="auto" w:line="276"/>
        <w:ind w:left="0" w:hanging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cs="Arial"/>
          <w:b/>
          <w:b/>
          <w:bCs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15. DO RESPONSÁVEL PELA ELABORAÇÃO DO TERMO DE REFERÊNCIA</w:t>
      </w:r>
    </w:p>
    <w:p>
      <w:pPr>
        <w:pStyle w:val="Normal"/>
        <w:spacing w:lineRule="auto" w:line="276" w:before="0" w:after="36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15.1</w:t>
      </w:r>
      <w:bookmarkStart w:id="13" w:name="page66R_mcid16"/>
      <w:r>
        <w:rPr>
          <w:rFonts w:cs="Arial" w:ascii="Times New Roman" w:hAnsi="Times New Roman"/>
          <w:color w:val="000000"/>
          <w:sz w:val="24"/>
          <w:szCs w:val="24"/>
        </w:rPr>
        <w:t>. Este Termo de Referência foi estruturado através do DFD – Documento de Formalização de Demanda elaborado pelo requisitante.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São Gabriel da Palha,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novembro </w:t>
      </w:r>
      <w:r>
        <w:rPr>
          <w:rFonts w:ascii="Times New Roman" w:hAnsi="Times New Roman"/>
          <w:sz w:val="24"/>
          <w:szCs w:val="24"/>
        </w:rPr>
        <w:t>de 2024.</w:t>
      </w:r>
    </w:p>
    <w:p>
      <w:pPr>
        <w:pStyle w:val="Normal"/>
        <w:spacing w:lineRule="auto" w:line="276"/>
        <w:jc w:val="right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cs="Arial"/>
          <w:b/>
          <w:b/>
          <w:bCs/>
        </w:rPr>
      </w:pPr>
      <w:r>
        <w:rPr>
          <w:rFonts w:cs="Arial" w:ascii="Times New Roman" w:hAnsi="Times New Roman"/>
          <w:b/>
          <w:bCs/>
          <w:sz w:val="24"/>
          <w:szCs w:val="24"/>
        </w:rPr>
        <w:t>Elaborado por: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b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rFonts w:ascii="Times New Roman" w:hAnsi="Times New Roman"/>
          <w:kern w:val="0"/>
          <w:sz w:val="24"/>
          <w:szCs w:val="24"/>
          <w:lang w:val="pt-BR" w:bidi="ar-SA"/>
        </w:rPr>
        <w:t>VALTER BONATTO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rFonts w:ascii="Times New Roman" w:hAnsi="Times New Roman"/>
          <w:kern w:val="0"/>
          <w:sz w:val="24"/>
          <w:szCs w:val="24"/>
          <w:lang w:val="pt-BR" w:bidi="ar-SA"/>
        </w:rPr>
        <w:t>Responsável pela elaboração do Termo de Referência</w:t>
      </w:r>
    </w:p>
    <w:p>
      <w:pPr>
        <w:pStyle w:val="Normal"/>
        <w:widowControl w:val="false"/>
        <w:suppressAutoHyphens w:val="true"/>
        <w:spacing w:lineRule="auto" w:line="276" w:before="0" w:after="0"/>
        <w:jc w:val="center"/>
        <w:rPr>
          <w:kern w:val="0"/>
          <w:lang w:val="pt-BR" w:bidi="ar-SA"/>
        </w:rPr>
      </w:pPr>
      <w:r>
        <w:rPr>
          <w:rFonts w:ascii="Times New Roman" w:hAnsi="Times New Roman"/>
          <w:kern w:val="0"/>
          <w:sz w:val="24"/>
          <w:szCs w:val="24"/>
          <w:lang w:val="pt-BR" w:bidi="ar-SA"/>
        </w:rPr>
        <w:t>Portaria nº 20/2024 – SGP-Prev</w:t>
      </w:r>
      <w:bookmarkEnd w:id="0"/>
      <w:bookmarkEnd w:id="7"/>
      <w:bookmarkEnd w:id="8"/>
      <w:bookmarkEnd w:id="13"/>
    </w:p>
    <w:sectPr>
      <w:headerReference w:type="default" r:id="rId7"/>
      <w:footerReference w:type="default" r:id="rId8"/>
      <w:type w:val="nextPage"/>
      <w:pgSz w:w="11906" w:h="16838"/>
      <w:pgMar w:left="155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egoe UI">
    <w:charset w:val="00"/>
    <w:family w:val="roman"/>
    <w:pitch w:val="variable"/>
  </w:font>
  <w:font w:name="Ecofont_Spranq_eco_San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sz w:val="20"/>
        <w:szCs w:val="20"/>
      </w:rPr>
      <w:t xml:space="preserve"> </w:t>
    </w:r>
    <w:r>
      <w:rPr>
        <w:rStyle w:val="Nmerodepgina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  <w:p>
    <w:pPr>
      <w:pStyle w:val="Normal"/>
      <w:jc w:val="center"/>
      <w:rPr>
        <w:rFonts w:ascii="Arial Narrow" w:hAnsi="Arial Narrow"/>
        <w:b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LinkdaInternet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link w:val="Quote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 w:customStyle="1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pt-BR"/>
    </w:rPr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character" w:styleId="WW8Num13z2">
    <w:name w:val="WW8Num13z2"/>
    <w:qFormat/>
    <w:rPr/>
  </w:style>
  <w:style w:type="character" w:styleId="UnresolvedMention">
    <w:name w:val="Unresolved Mention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TextodebaloChar">
    <w:name w:val="Texto de balão Char"/>
    <w:qFormat/>
    <w:rPr>
      <w:rFonts w:ascii="Segoe UI" w:hAnsi="Segoe UI" w:eastAsia="Times New Roman" w:cs="Segoe UI"/>
      <w:color w:val="000000"/>
      <w:sz w:val="18"/>
      <w:szCs w:val="18"/>
    </w:rPr>
  </w:style>
  <w:style w:type="character" w:styleId="Nivel4Char">
    <w:name w:val="Nivel 4 Char"/>
    <w:qFormat/>
    <w:rPr>
      <w:rFonts w:ascii="Ecofont_Spranq_eco_Sans" w:hAnsi="Ecofont_Spranq_eco_Sans" w:eastAsia="Arial Unicode MS"/>
      <w:color w:val="000000"/>
      <w:sz w:val="20"/>
      <w:szCs w:val="20"/>
    </w:rPr>
  </w:style>
  <w:style w:type="character" w:styleId="AssuntodocomentrioChar">
    <w:name w:val="Assunto do comentário Char"/>
    <w:qFormat/>
    <w:rPr>
      <w:rFonts w:ascii="Arial" w:hAnsi="Arial" w:eastAsia="Times New Roman" w:cs="Tahoma"/>
      <w:b/>
      <w:bCs/>
      <w:color w:val="000000"/>
      <w:sz w:val="20"/>
      <w:szCs w:val="20"/>
    </w:rPr>
  </w:style>
  <w:style w:type="character" w:styleId="TextodecomentrioChar">
    <w:name w:val="Texto de comentário Char"/>
    <w:qFormat/>
    <w:rPr>
      <w:rFonts w:ascii="Arial" w:hAnsi="Arial" w:eastAsia="Times New Roman" w:cs="Tahoma"/>
      <w:color w:val="000000"/>
      <w:sz w:val="20"/>
      <w:szCs w:val="20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QuoteChar">
    <w:name w:val="Quote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</w:rPr>
  </w:style>
  <w:style w:type="character" w:styleId="Citao2Char">
    <w:name w:val="citação 2 Char"/>
    <w:qFormat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Nivel01Char">
    <w:name w:val="Nivel 01 Char"/>
    <w:basedOn w:val="Ttulo1Char"/>
    <w:qFormat/>
    <w:rPr>
      <w:rFonts w:ascii="Arial" w:hAnsi="Arial" w:cs="Times New Roman"/>
      <w:b/>
      <w:bCs/>
      <w:color w:val="000000"/>
      <w:sz w:val="20"/>
      <w:szCs w:val="20"/>
    </w:rPr>
  </w:style>
  <w:style w:type="character" w:styleId="WW8Num6z0">
    <w:name w:val="WW8Num6z0"/>
    <w:qFormat/>
    <w:rPr>
      <w:rFonts w:ascii="Symbol" w:hAnsi="Symbol" w:cs="OpenSymbol;Arial Unicode MS"/>
    </w:rPr>
  </w:style>
  <w:style w:type="character" w:styleId="Linkdainternetvisitado">
    <w:name w:val="FollowedHyperlink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Ttulo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Contedodatabela" w:customStyle="1">
    <w:name w:val="Conteúdo da tabela"/>
    <w:basedOn w:val="Normal"/>
    <w:qFormat/>
    <w:pPr/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Nivel01" w:customStyle="1">
    <w:name w:val="Nivel 01"/>
    <w:basedOn w:val="Ttulo1"/>
    <w:qFormat/>
    <w:pPr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MS Gothic" w:cs="Times New Roman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AvisoClusulaPrincipal">
    <w:name w:val="Aviso - Cláusula Principal"/>
    <w:basedOn w:val="Ttulo1"/>
    <w:qFormat/>
    <w:pPr>
      <w:keepNext w:val="true"/>
      <w:keepLines/>
      <w:spacing w:lineRule="auto" w:line="360" w:before="240" w:after="240"/>
      <w:ind w:right="-30" w:hanging="0"/>
      <w:jc w:val="both"/>
    </w:pPr>
    <w:rPr>
      <w:rFonts w:ascii="Arial" w:hAnsi="Arial" w:eastAsia="Times New Roman"/>
      <w:b/>
      <w:color w:val="00000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" w:cstheme="minorBidi"/>
      <w:color w:val="auto"/>
      <w:kern w:val="0"/>
      <w:sz w:val="20"/>
      <w:szCs w:val="20"/>
      <w:lang w:val="pt-BR" w:eastAsia="en-US" w:bidi="ar-SA"/>
    </w:rPr>
  </w:style>
  <w:style w:type="paragraph" w:styleId="Nivel4">
    <w:name w:val="Nivel 4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" w:cstheme="minorBidi"/>
      <w:color w:val="auto"/>
      <w:kern w:val="0"/>
      <w:sz w:val="20"/>
      <w:szCs w:val="20"/>
      <w:lang w:val="pt-BR" w:eastAsia="en-US" w:bidi="ar-SA"/>
    </w:rPr>
  </w:style>
  <w:style w:type="paragraph" w:styleId="Nivel11">
    <w:name w:val="Nivel 1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" w:cstheme="minorBidi"/>
      <w:b/>
      <w:color w:val="auto"/>
      <w:kern w:val="0"/>
      <w:sz w:val="20"/>
      <w:szCs w:val="20"/>
      <w:lang w:val="pt-BR" w:eastAsia="en-US" w:bidi="ar-SA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2"/>
      <w:szCs w:val="20"/>
      <w:lang w:val="pt-BR" w:eastAsia="en-US" w:bidi="ar-SA"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pt-BR" w:eastAsia="zh-CN" w:bidi="ar-SA"/>
    </w:rPr>
  </w:style>
  <w:style w:type="paragraph" w:styleId="Nvel1SemNum">
    <w:name w:val="Nível 1-Sem Num"/>
    <w:basedOn w:val="Nivel01"/>
    <w:qFormat/>
    <w:pPr/>
    <w:rPr>
      <w:color w:val="FF0000"/>
    </w:rPr>
  </w:style>
  <w:style w:type="paragraph" w:styleId="Nvel1SemNumPreto">
    <w:name w:val="Nível 1-Sem Num Preto"/>
    <w:basedOn w:val="Nvel1SemNum"/>
    <w:qFormat/>
    <w:pPr/>
    <w:rPr>
      <w:color w:val="auto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6">
    <w:name w:val="WW8Num6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cnj.jus.br/improbidade_adm/consultar_requerido.php" TargetMode="External"/><Relationship Id="rId4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hyperlink" Target="https://certidoesapf.apps.tcu.gov.br/" TargetMode="External"/><Relationship Id="rId6" Type="http://schemas.openxmlformats.org/officeDocument/2006/relationships/hyperlink" Target="http://www.portaldoempreendedor.gov.br/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Application>LibreOffice/7.4.4.2$Windows_X86_64 LibreOffice_project/85569322deea74ec9134968a29af2df5663baa21</Application>
  <AppVersion>15.0000</AppVersion>
  <Pages>12</Pages>
  <Words>4138</Words>
  <Characters>24210</Characters>
  <CharactersWithSpaces>28171</CharactersWithSpaces>
  <Paragraphs>227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2024-11-12T16:17:58Z</cp:lastPrinted>
  <dcterms:modified xsi:type="dcterms:W3CDTF">2024-11-12T16:19:08Z</dcterms:modified>
  <cp:revision>121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